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95913064"/>
        <w:docPartObj>
          <w:docPartGallery w:val="Cover Pages"/>
          <w:docPartUnique/>
        </w:docPartObj>
      </w:sdtPr>
      <w:sdtEndPr>
        <w:rPr>
          <w:sz w:val="40"/>
          <w:szCs w:val="40"/>
        </w:rPr>
      </w:sdtEndPr>
      <w:sdtContent>
        <w:p w14:paraId="55283627" w14:textId="58E099DF" w:rsidR="00820235" w:rsidRDefault="00820235">
          <w:r>
            <w:rPr>
              <w:noProof/>
            </w:rPr>
            <mc:AlternateContent>
              <mc:Choice Requires="wpg">
                <w:drawing>
                  <wp:anchor distT="0" distB="0" distL="114300" distR="114300" simplePos="0" relativeHeight="251659264" behindDoc="1" locked="0" layoutInCell="1" allowOverlap="1" wp14:anchorId="02B24F1D" wp14:editId="1AEDA646">
                    <wp:simplePos x="0" y="0"/>
                    <wp:positionH relativeFrom="page">
                      <wp:posOffset>457200</wp:posOffset>
                    </wp:positionH>
                    <wp:positionV relativeFrom="page">
                      <wp:posOffset>476250</wp:posOffset>
                    </wp:positionV>
                    <wp:extent cx="6852920" cy="9142730"/>
                    <wp:effectExtent l="0" t="0" r="2540" b="635"/>
                    <wp:wrapNone/>
                    <wp:docPr id="119" name="Group 121"/>
                    <wp:cNvGraphicFramePr/>
                    <a:graphic xmlns:a="http://schemas.openxmlformats.org/drawingml/2006/main">
                      <a:graphicData uri="http://schemas.microsoft.com/office/word/2010/wordprocessingGroup">
                        <wpg:wgp>
                          <wpg:cNvGrpSpPr/>
                          <wpg:grpSpPr>
                            <a:xfrm>
                              <a:off x="0" y="0"/>
                              <a:ext cx="6852920" cy="9142730"/>
                              <a:chOff x="0" y="0"/>
                              <a:chExt cx="6858000" cy="9271750"/>
                            </a:xfrm>
                          </wpg:grpSpPr>
                          <wps:wsp>
                            <wps:cNvPr id="120" name="Rectangle 120"/>
                            <wps:cNvSpPr/>
                            <wps:spPr>
                              <a:xfrm>
                                <a:off x="0" y="5785990"/>
                                <a:ext cx="6858000" cy="54092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6220663"/>
                                <a:ext cx="6858000" cy="3051087"/>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937FFD" w14:textId="6885DFF2" w:rsidR="00820235" w:rsidRPr="00872AA5" w:rsidRDefault="00872AA5">
                                  <w:pPr>
                                    <w:pStyle w:val="NoSpacing"/>
                                    <w:rPr>
                                      <w:color w:val="FFFFFF" w:themeColor="background1"/>
                                    </w:rPr>
                                  </w:pPr>
                                  <w:r w:rsidRPr="00872AA5">
                                    <w:rPr>
                                      <w:color w:val="FFFFFF" w:themeColor="background1"/>
                                    </w:rPr>
                                    <w:t>Working Group</w:t>
                                  </w:r>
                                </w:p>
                                <w:p w14:paraId="52A61BCB" w14:textId="77777777" w:rsidR="00872AA5" w:rsidRDefault="00872AA5" w:rsidP="00872AA5">
                                  <w:pPr>
                                    <w:pStyle w:val="NoSpacing"/>
                                    <w:numPr>
                                      <w:ilvl w:val="0"/>
                                      <w:numId w:val="40"/>
                                    </w:numPr>
                                    <w:rPr>
                                      <w:color w:val="FFFFFF" w:themeColor="background1"/>
                                    </w:rPr>
                                  </w:pPr>
                                  <w:r>
                                    <w:rPr>
                                      <w:color w:val="FFFFFF" w:themeColor="background1"/>
                                    </w:rPr>
                                    <w:t>Katie Hartman (Office of the Provost)</w:t>
                                  </w:r>
                                </w:p>
                                <w:p w14:paraId="101F45FE" w14:textId="5DEDDACC" w:rsidR="00872AA5" w:rsidRDefault="00872AA5" w:rsidP="00872AA5">
                                  <w:pPr>
                                    <w:pStyle w:val="NoSpacing"/>
                                    <w:numPr>
                                      <w:ilvl w:val="0"/>
                                      <w:numId w:val="40"/>
                                    </w:numPr>
                                    <w:rPr>
                                      <w:color w:val="FFFFFF" w:themeColor="background1"/>
                                    </w:rPr>
                                  </w:pPr>
                                  <w:r w:rsidRPr="00872AA5">
                                    <w:rPr>
                                      <w:color w:val="FFFFFF" w:themeColor="background1"/>
                                    </w:rPr>
                                    <w:t>Barry Hettler (College of Business)</w:t>
                                  </w:r>
                                </w:p>
                                <w:p w14:paraId="67760705" w14:textId="19CA1B4E" w:rsidR="00872AA5" w:rsidRDefault="00872AA5" w:rsidP="00872AA5">
                                  <w:pPr>
                                    <w:pStyle w:val="NoSpacing"/>
                                    <w:numPr>
                                      <w:ilvl w:val="0"/>
                                      <w:numId w:val="40"/>
                                    </w:numPr>
                                    <w:rPr>
                                      <w:color w:val="FFFFFF" w:themeColor="background1"/>
                                    </w:rPr>
                                  </w:pPr>
                                  <w:r>
                                    <w:rPr>
                                      <w:color w:val="FFFFFF" w:themeColor="background1"/>
                                    </w:rPr>
                                    <w:t>Beth Quitslund (College of Arts &amp; Sciences)</w:t>
                                  </w:r>
                                </w:p>
                                <w:p w14:paraId="2F71838B" w14:textId="0C9F49C1" w:rsidR="00872AA5" w:rsidRPr="00872AA5" w:rsidRDefault="00872AA5" w:rsidP="00872AA5">
                                  <w:pPr>
                                    <w:pStyle w:val="NoSpacing"/>
                                    <w:numPr>
                                      <w:ilvl w:val="0"/>
                                      <w:numId w:val="40"/>
                                    </w:numPr>
                                    <w:rPr>
                                      <w:color w:val="FFFFFF" w:themeColor="background1"/>
                                    </w:rPr>
                                  </w:pPr>
                                  <w:r>
                                    <w:rPr>
                                      <w:color w:val="FFFFFF" w:themeColor="background1"/>
                                    </w:rPr>
                                    <w:t>Melinda Rhodes-DiSalvo (Center for Teaching, Learning, and Assessment)</w:t>
                                  </w:r>
                                </w:p>
                                <w:p w14:paraId="6F681875" w14:textId="16033F97" w:rsidR="00872AA5" w:rsidRDefault="00872AA5" w:rsidP="00872AA5">
                                  <w:pPr>
                                    <w:pStyle w:val="NoSpacing"/>
                                    <w:numPr>
                                      <w:ilvl w:val="0"/>
                                      <w:numId w:val="40"/>
                                    </w:numPr>
                                    <w:rPr>
                                      <w:color w:val="FFFFFF" w:themeColor="background1"/>
                                    </w:rPr>
                                  </w:pPr>
                                  <w:r>
                                    <w:rPr>
                                      <w:color w:val="FFFFFF" w:themeColor="background1"/>
                                    </w:rPr>
                                    <w:t>Jason Smith (</w:t>
                                  </w:r>
                                  <w:r w:rsidRPr="00872AA5">
                                    <w:rPr>
                                      <w:color w:val="FFFFFF" w:themeColor="background1"/>
                                    </w:rPr>
                                    <w:t>Chaddock + Morrow College of Fine Arts</w:t>
                                  </w:r>
                                  <w:r>
                                    <w:rPr>
                                      <w:color w:val="FFFFFF" w:themeColor="background1"/>
                                    </w:rPr>
                                    <w:t>)</w:t>
                                  </w:r>
                                </w:p>
                                <w:p w14:paraId="614E6957" w14:textId="769A09B8" w:rsidR="00872AA5" w:rsidRDefault="00872AA5" w:rsidP="00872AA5">
                                  <w:pPr>
                                    <w:pStyle w:val="NoSpacing"/>
                                    <w:numPr>
                                      <w:ilvl w:val="0"/>
                                      <w:numId w:val="40"/>
                                    </w:numPr>
                                    <w:rPr>
                                      <w:color w:val="FFFFFF" w:themeColor="background1"/>
                                    </w:rPr>
                                  </w:pPr>
                                  <w:r>
                                    <w:rPr>
                                      <w:color w:val="FFFFFF" w:themeColor="background1"/>
                                    </w:rPr>
                                    <w:t>Sarah Rubin (Heritage College of Oesteopathic Medicine)</w:t>
                                  </w:r>
                                </w:p>
                                <w:p w14:paraId="0E8466E7" w14:textId="33EF6D81" w:rsidR="00872AA5" w:rsidRDefault="00872AA5" w:rsidP="00872AA5">
                                  <w:pPr>
                                    <w:pStyle w:val="NoSpacing"/>
                                    <w:numPr>
                                      <w:ilvl w:val="0"/>
                                      <w:numId w:val="40"/>
                                    </w:numPr>
                                    <w:rPr>
                                      <w:color w:val="FFFFFF" w:themeColor="background1"/>
                                    </w:rPr>
                                  </w:pPr>
                                  <w:r>
                                    <w:rPr>
                                      <w:color w:val="FFFFFF" w:themeColor="background1"/>
                                    </w:rPr>
                                    <w:t>Sarah Wyatt (College of Arts &amp; Sciences)</w:t>
                                  </w:r>
                                </w:p>
                                <w:p w14:paraId="1764B59F" w14:textId="77777777" w:rsidR="00872AA5" w:rsidRPr="00872AA5" w:rsidRDefault="00872AA5" w:rsidP="00872AA5">
                                  <w:pPr>
                                    <w:pStyle w:val="NoSpacing"/>
                                    <w:ind w:left="720"/>
                                    <w:rPr>
                                      <w:color w:val="FFFFFF" w:themeColor="background1"/>
                                    </w:rPr>
                                  </w:pPr>
                                </w:p>
                                <w:p w14:paraId="02005EE0" w14:textId="389A7980" w:rsidR="00820235" w:rsidRDefault="00872AA5">
                                  <w:pPr>
                                    <w:pStyle w:val="NoSpacing"/>
                                    <w:rPr>
                                      <w:caps/>
                                      <w:color w:val="FFFFFF" w:themeColor="background1"/>
                                    </w:rPr>
                                  </w:pPr>
                                  <w:r>
                                    <w:rPr>
                                      <w:caps/>
                                      <w:color w:val="FFFFFF" w:themeColor="background1"/>
                                    </w:rPr>
                                    <w:t>July 2025</w:t>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0" y="0"/>
                                <a:ext cx="6858000" cy="57859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70D9E0" w14:textId="77777777" w:rsidR="00820235" w:rsidRPr="00820235" w:rsidRDefault="00820235" w:rsidP="00820235">
                                  <w:pPr>
                                    <w:pStyle w:val="Title"/>
                                  </w:pPr>
                                  <w:r w:rsidRPr="00820235">
                                    <w:t xml:space="preserve">Ohio University </w:t>
                                  </w:r>
                                </w:p>
                                <w:p w14:paraId="0E6333DB" w14:textId="77777777" w:rsidR="00820235" w:rsidRPr="00820235" w:rsidRDefault="00820235" w:rsidP="00820235">
                                  <w:pPr>
                                    <w:pStyle w:val="Title"/>
                                  </w:pPr>
                                  <w:r w:rsidRPr="00820235">
                                    <w:t>Peer Evaluation of Teaching Guidelines</w:t>
                                  </w:r>
                                </w:p>
                                <w:sdt>
                                  <w:sdtPr>
                                    <w:rPr>
                                      <w:caps/>
                                      <w:color w:val="1F497D" w:themeColor="text2"/>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Content>
                                    <w:p w14:paraId="71B30C46" w14:textId="73F4AD8C" w:rsidR="00820235" w:rsidRDefault="00820235">
                                      <w:pPr>
                                        <w:pStyle w:val="NoSpacing"/>
                                        <w:spacing w:before="240"/>
                                        <w:rPr>
                                          <w:caps/>
                                          <w:color w:val="1F497D" w:themeColor="text2"/>
                                          <w:sz w:val="36"/>
                                          <w:szCs w:val="36"/>
                                        </w:rPr>
                                      </w:pPr>
                                      <w:r>
                                        <w:rPr>
                                          <w:caps/>
                                          <w:color w:val="1F497D" w:themeColor="text2"/>
                                          <w:sz w:val="36"/>
                                          <w:szCs w:val="36"/>
                                        </w:rPr>
                                        <w:t>Advance Ohio Higher Education Act Workgroup</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02B24F1D" id="Group 121" o:spid="_x0000_s1026" style="position:absolute;margin-left:36pt;margin-top:37.5pt;width:539.6pt;height:719.9pt;z-index:-251657216;mso-width-percent:882;mso-height-percent:909;mso-position-horizontal-relative:page;mso-position-vertical-relative:page;mso-width-percent:882;mso-height-percent:909"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">
                    <v:rect id="Rectangle 120" o:spid="_x0000_s1027" style="position:absolute;top:57859;width:68580;height:5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" fillcolor="#006848 [3204]" stroked="f" strokeweight="2pt"/>
                    <v:rect id="Rectangle 121" o:spid="_x0000_s1028" style="position:absolute;top:62206;width:68580;height:3051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" fillcolor="#776e64 [3205]" stroked="f" strokeweight="2pt">
                      <v:textbox inset="36pt,14.4pt,36pt,36pt">
                        <w:txbxContent>
                          <w:p w14:paraId="28937FFD" w14:textId="6885DFF2" w:rsidR="00820235" w:rsidRPr="00872AA5" w:rsidRDefault="00872AA5">
                            <w:pPr>
                              <w:pStyle w:val="NoSpacing"/>
                              <w:rPr>
                                <w:color w:val="FFFFFF" w:themeColor="background1"/>
                              </w:rPr>
                            </w:pPr>
                            <w:r w:rsidRPr="00872AA5">
                              <w:rPr>
                                <w:color w:val="FFFFFF" w:themeColor="background1"/>
                              </w:rPr>
                              <w:t>Working Group</w:t>
                            </w:r>
                          </w:p>
                          <w:p w14:paraId="52A61BCB" w14:textId="77777777" w:rsidR="00872AA5" w:rsidRDefault="00872AA5" w:rsidP="00872AA5">
                            <w:pPr>
                              <w:pStyle w:val="NoSpacing"/>
                              <w:numPr>
                                <w:ilvl w:val="0"/>
                                <w:numId w:val="40"/>
                              </w:numPr>
                              <w:rPr>
                                <w:color w:val="FFFFFF" w:themeColor="background1"/>
                              </w:rPr>
                            </w:pPr>
                            <w:r>
                              <w:rPr>
                                <w:color w:val="FFFFFF" w:themeColor="background1"/>
                              </w:rPr>
                              <w:t>Katie Hartman (Office of the Provost)</w:t>
                            </w:r>
                          </w:p>
                          <w:p w14:paraId="101F45FE" w14:textId="5DEDDACC" w:rsidR="00872AA5" w:rsidRDefault="00872AA5" w:rsidP="00872AA5">
                            <w:pPr>
                              <w:pStyle w:val="NoSpacing"/>
                              <w:numPr>
                                <w:ilvl w:val="0"/>
                                <w:numId w:val="40"/>
                              </w:numPr>
                              <w:rPr>
                                <w:color w:val="FFFFFF" w:themeColor="background1"/>
                              </w:rPr>
                            </w:pPr>
                            <w:r w:rsidRPr="00872AA5">
                              <w:rPr>
                                <w:color w:val="FFFFFF" w:themeColor="background1"/>
                              </w:rPr>
                              <w:t>Barry Hettler (College of Business)</w:t>
                            </w:r>
                          </w:p>
                          <w:p w14:paraId="67760705" w14:textId="19CA1B4E" w:rsidR="00872AA5" w:rsidRDefault="00872AA5" w:rsidP="00872AA5">
                            <w:pPr>
                              <w:pStyle w:val="NoSpacing"/>
                              <w:numPr>
                                <w:ilvl w:val="0"/>
                                <w:numId w:val="40"/>
                              </w:numPr>
                              <w:rPr>
                                <w:color w:val="FFFFFF" w:themeColor="background1"/>
                              </w:rPr>
                            </w:pPr>
                            <w:r>
                              <w:rPr>
                                <w:color w:val="FFFFFF" w:themeColor="background1"/>
                              </w:rPr>
                              <w:t>Beth Quitslund (College of Arts &amp; Sciences)</w:t>
                            </w:r>
                          </w:p>
                          <w:p w14:paraId="2F71838B" w14:textId="0C9F49C1" w:rsidR="00872AA5" w:rsidRPr="00872AA5" w:rsidRDefault="00872AA5" w:rsidP="00872AA5">
                            <w:pPr>
                              <w:pStyle w:val="NoSpacing"/>
                              <w:numPr>
                                <w:ilvl w:val="0"/>
                                <w:numId w:val="40"/>
                              </w:numPr>
                              <w:rPr>
                                <w:color w:val="FFFFFF" w:themeColor="background1"/>
                              </w:rPr>
                            </w:pPr>
                            <w:r>
                              <w:rPr>
                                <w:color w:val="FFFFFF" w:themeColor="background1"/>
                              </w:rPr>
                              <w:t>Melinda Rhodes-DiSalvo (Center for Teaching, Learning, and Assessment)</w:t>
                            </w:r>
                          </w:p>
                          <w:p w14:paraId="6F681875" w14:textId="16033F97" w:rsidR="00872AA5" w:rsidRDefault="00872AA5" w:rsidP="00872AA5">
                            <w:pPr>
                              <w:pStyle w:val="NoSpacing"/>
                              <w:numPr>
                                <w:ilvl w:val="0"/>
                                <w:numId w:val="40"/>
                              </w:numPr>
                              <w:rPr>
                                <w:color w:val="FFFFFF" w:themeColor="background1"/>
                              </w:rPr>
                            </w:pPr>
                            <w:r>
                              <w:rPr>
                                <w:color w:val="FFFFFF" w:themeColor="background1"/>
                              </w:rPr>
                              <w:t>Jason Smith (</w:t>
                            </w:r>
                            <w:r w:rsidRPr="00872AA5">
                              <w:rPr>
                                <w:color w:val="FFFFFF" w:themeColor="background1"/>
                              </w:rPr>
                              <w:t>Chaddock + Morrow College of Fine Arts</w:t>
                            </w:r>
                            <w:r>
                              <w:rPr>
                                <w:color w:val="FFFFFF" w:themeColor="background1"/>
                              </w:rPr>
                              <w:t>)</w:t>
                            </w:r>
                          </w:p>
                          <w:p w14:paraId="614E6957" w14:textId="769A09B8" w:rsidR="00872AA5" w:rsidRDefault="00872AA5" w:rsidP="00872AA5">
                            <w:pPr>
                              <w:pStyle w:val="NoSpacing"/>
                              <w:numPr>
                                <w:ilvl w:val="0"/>
                                <w:numId w:val="40"/>
                              </w:numPr>
                              <w:rPr>
                                <w:color w:val="FFFFFF" w:themeColor="background1"/>
                              </w:rPr>
                            </w:pPr>
                            <w:r>
                              <w:rPr>
                                <w:color w:val="FFFFFF" w:themeColor="background1"/>
                              </w:rPr>
                              <w:t>Sarah Rubin (Heritage College of Oesteopathic Medicine)</w:t>
                            </w:r>
                          </w:p>
                          <w:p w14:paraId="0E8466E7" w14:textId="33EF6D81" w:rsidR="00872AA5" w:rsidRDefault="00872AA5" w:rsidP="00872AA5">
                            <w:pPr>
                              <w:pStyle w:val="NoSpacing"/>
                              <w:numPr>
                                <w:ilvl w:val="0"/>
                                <w:numId w:val="40"/>
                              </w:numPr>
                              <w:rPr>
                                <w:color w:val="FFFFFF" w:themeColor="background1"/>
                              </w:rPr>
                            </w:pPr>
                            <w:r>
                              <w:rPr>
                                <w:color w:val="FFFFFF" w:themeColor="background1"/>
                              </w:rPr>
                              <w:t>Sarah Wyatt (College of Arts &amp; Sciences)</w:t>
                            </w:r>
                          </w:p>
                          <w:p w14:paraId="1764B59F" w14:textId="77777777" w:rsidR="00872AA5" w:rsidRPr="00872AA5" w:rsidRDefault="00872AA5" w:rsidP="00872AA5">
                            <w:pPr>
                              <w:pStyle w:val="NoSpacing"/>
                              <w:ind w:left="720"/>
                              <w:rPr>
                                <w:color w:val="FFFFFF" w:themeColor="background1"/>
                              </w:rPr>
                            </w:pPr>
                          </w:p>
                          <w:p w14:paraId="02005EE0" w14:textId="389A7980" w:rsidR="00820235" w:rsidRDefault="00872AA5">
                            <w:pPr>
                              <w:pStyle w:val="NoSpacing"/>
                              <w:rPr>
                                <w:caps/>
                                <w:color w:val="FFFFFF" w:themeColor="background1"/>
                              </w:rPr>
                            </w:pPr>
                            <w:r>
                              <w:rPr>
                                <w:caps/>
                                <w:color w:val="FFFFFF" w:themeColor="background1"/>
                              </w:rPr>
                              <w:t>July 2025</w:t>
                            </w:r>
                          </w:p>
                        </w:txbxContent>
                      </v:textbox>
                    </v:rect>
                    <v:shapetype id="_x0000_t202" coordsize="21600,21600" o:spt="202" path="m,l,21600r21600,l21600,xe">
                      <v:stroke joinstyle="miter"/>
                      <v:path gradientshapeok="t" o:connecttype="rect"/>
                    </v:shapetype>
                    <v:shape id="Text Box 122" o:spid="_x0000_s1029" type="#_x0000_t202" style="position:absolute;width:68580;height:57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p w14:paraId="1270D9E0" w14:textId="77777777" w:rsidR="00820235" w:rsidRPr="00820235" w:rsidRDefault="00820235" w:rsidP="00820235">
                            <w:pPr>
                              <w:pStyle w:val="Title"/>
                            </w:pPr>
                            <w:r w:rsidRPr="00820235">
                              <w:t xml:space="preserve">Ohio University </w:t>
                            </w:r>
                          </w:p>
                          <w:p w14:paraId="0E6333DB" w14:textId="77777777" w:rsidR="00820235" w:rsidRPr="00820235" w:rsidRDefault="00820235" w:rsidP="00820235">
                            <w:pPr>
                              <w:pStyle w:val="Title"/>
                            </w:pPr>
                            <w:r w:rsidRPr="00820235">
                              <w:t>Peer Evaluation of Teaching Guidelines</w:t>
                            </w:r>
                          </w:p>
                          <w:sdt>
                            <w:sdtPr>
                              <w:rPr>
                                <w:caps/>
                                <w:color w:val="1F497D" w:themeColor="text2"/>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Content>
                              <w:p w14:paraId="71B30C46" w14:textId="73F4AD8C" w:rsidR="00820235" w:rsidRDefault="00820235">
                                <w:pPr>
                                  <w:pStyle w:val="NoSpacing"/>
                                  <w:spacing w:before="240"/>
                                  <w:rPr>
                                    <w:caps/>
                                    <w:color w:val="1F497D" w:themeColor="text2"/>
                                    <w:sz w:val="36"/>
                                    <w:szCs w:val="36"/>
                                  </w:rPr>
                                </w:pPr>
                                <w:r>
                                  <w:rPr>
                                    <w:caps/>
                                    <w:color w:val="1F497D" w:themeColor="text2"/>
                                    <w:sz w:val="36"/>
                                    <w:szCs w:val="36"/>
                                  </w:rPr>
                                  <w:t>Advance Ohio Higher Education Act Workgroup</w:t>
                                </w:r>
                              </w:p>
                            </w:sdtContent>
                          </w:sdt>
                        </w:txbxContent>
                      </v:textbox>
                    </v:shape>
                    <w10:wrap anchorx="page" anchory="page"/>
                  </v:group>
                </w:pict>
              </mc:Fallback>
            </mc:AlternateContent>
          </w:r>
        </w:p>
        <w:p w14:paraId="499E7F08" w14:textId="50D20F78" w:rsidR="00820235" w:rsidRDefault="00820235">
          <w:pPr>
            <w:rPr>
              <w:rFonts w:asciiTheme="majorHAnsi" w:eastAsiaTheme="majorEastAsia" w:hAnsiTheme="majorHAnsi" w:cstheme="majorBidi"/>
              <w:color w:val="000000" w:themeColor="text1"/>
              <w:sz w:val="40"/>
              <w:szCs w:val="40"/>
            </w:rPr>
          </w:pPr>
          <w:r>
            <w:rPr>
              <w:sz w:val="40"/>
              <w:szCs w:val="40"/>
            </w:rPr>
            <w:br w:type="page"/>
          </w:r>
        </w:p>
      </w:sdtContent>
    </w:sdt>
    <w:p w14:paraId="0CC1C756" w14:textId="77777777" w:rsidR="00BE6DD5" w:rsidRDefault="00BE6DD5" w:rsidP="00BE6DD5">
      <w:pPr>
        <w:spacing w:before="100" w:beforeAutospacing="1" w:after="100" w:afterAutospacing="1" w:line="240" w:lineRule="auto"/>
        <w:rPr>
          <w:rStyle w:val="IntenseEmphasis"/>
          <w:i w:val="0"/>
          <w:iCs w:val="0"/>
        </w:rPr>
      </w:pPr>
      <w:r w:rsidRPr="00BE6DD5">
        <w:rPr>
          <w:rStyle w:val="IntenseEmphasis"/>
          <w:i w:val="0"/>
          <w:iCs w:val="0"/>
        </w:rPr>
        <w:lastRenderedPageBreak/>
        <w:t>Table of Contents</w:t>
      </w:r>
    </w:p>
    <w:p w14:paraId="11BB9EDB" w14:textId="2F25A8B8" w:rsidR="00543774" w:rsidRDefault="00543774">
      <w:pPr>
        <w:pStyle w:val="TOC1"/>
        <w:tabs>
          <w:tab w:val="left" w:pos="480"/>
          <w:tab w:val="right" w:leader="dot" w:pos="9350"/>
        </w:tabs>
        <w:rPr>
          <w:noProof/>
          <w:kern w:val="2"/>
          <w:sz w:val="24"/>
          <w:szCs w:val="24"/>
          <w14:ligatures w14:val="standardContextual"/>
        </w:rPr>
      </w:pPr>
      <w:r>
        <w:rPr>
          <w:rStyle w:val="IntenseEmphasis"/>
          <w:i w:val="0"/>
          <w:iCs w:val="0"/>
        </w:rPr>
        <w:fldChar w:fldCharType="begin"/>
      </w:r>
      <w:r>
        <w:rPr>
          <w:rStyle w:val="IntenseEmphasis"/>
          <w:i w:val="0"/>
          <w:iCs w:val="0"/>
        </w:rPr>
        <w:instrText xml:space="preserve"> TOC \o "1-1" \h \z \u </w:instrText>
      </w:r>
      <w:r>
        <w:rPr>
          <w:rStyle w:val="IntenseEmphasis"/>
          <w:i w:val="0"/>
          <w:iCs w:val="0"/>
        </w:rPr>
        <w:fldChar w:fldCharType="separate"/>
      </w:r>
      <w:hyperlink w:anchor="_Toc202259811" w:history="1">
        <w:r w:rsidRPr="00164A60">
          <w:rPr>
            <w:rStyle w:val="Hyperlink"/>
            <w:noProof/>
          </w:rPr>
          <w:t>1</w:t>
        </w:r>
        <w:r>
          <w:rPr>
            <w:noProof/>
            <w:kern w:val="2"/>
            <w:sz w:val="24"/>
            <w:szCs w:val="24"/>
            <w14:ligatures w14:val="standardContextual"/>
          </w:rPr>
          <w:tab/>
        </w:r>
        <w:r w:rsidRPr="00164A60">
          <w:rPr>
            <w:rStyle w:val="Hyperlink"/>
            <w:noProof/>
          </w:rPr>
          <w:t>Foundations</w:t>
        </w:r>
        <w:r>
          <w:rPr>
            <w:noProof/>
            <w:webHidden/>
          </w:rPr>
          <w:tab/>
        </w:r>
        <w:r>
          <w:rPr>
            <w:noProof/>
            <w:webHidden/>
          </w:rPr>
          <w:fldChar w:fldCharType="begin"/>
        </w:r>
        <w:r>
          <w:rPr>
            <w:noProof/>
            <w:webHidden/>
          </w:rPr>
          <w:instrText xml:space="preserve"> PAGEREF _Toc202259811 \h </w:instrText>
        </w:r>
        <w:r>
          <w:rPr>
            <w:noProof/>
            <w:webHidden/>
          </w:rPr>
        </w:r>
        <w:r>
          <w:rPr>
            <w:noProof/>
            <w:webHidden/>
          </w:rPr>
          <w:fldChar w:fldCharType="separate"/>
        </w:r>
        <w:r>
          <w:rPr>
            <w:noProof/>
            <w:webHidden/>
          </w:rPr>
          <w:t>2</w:t>
        </w:r>
        <w:r>
          <w:rPr>
            <w:noProof/>
            <w:webHidden/>
          </w:rPr>
          <w:fldChar w:fldCharType="end"/>
        </w:r>
      </w:hyperlink>
    </w:p>
    <w:p w14:paraId="65C9F0A7" w14:textId="221293C6" w:rsidR="00543774" w:rsidRDefault="00543774">
      <w:pPr>
        <w:pStyle w:val="TOC1"/>
        <w:tabs>
          <w:tab w:val="left" w:pos="480"/>
          <w:tab w:val="right" w:leader="dot" w:pos="9350"/>
        </w:tabs>
        <w:rPr>
          <w:noProof/>
          <w:kern w:val="2"/>
          <w:sz w:val="24"/>
          <w:szCs w:val="24"/>
          <w14:ligatures w14:val="standardContextual"/>
        </w:rPr>
      </w:pPr>
      <w:hyperlink w:anchor="_Toc202259812" w:history="1">
        <w:r w:rsidRPr="00164A60">
          <w:rPr>
            <w:rStyle w:val="Hyperlink"/>
            <w:noProof/>
          </w:rPr>
          <w:t>2</w:t>
        </w:r>
        <w:r>
          <w:rPr>
            <w:noProof/>
            <w:kern w:val="2"/>
            <w:sz w:val="24"/>
            <w:szCs w:val="24"/>
            <w14:ligatures w14:val="standardContextual"/>
          </w:rPr>
          <w:tab/>
        </w:r>
        <w:r w:rsidRPr="00164A60">
          <w:rPr>
            <w:rStyle w:val="Hyperlink"/>
            <w:noProof/>
          </w:rPr>
          <w:t>Peer Evaluations of Teaching</w:t>
        </w:r>
        <w:r>
          <w:rPr>
            <w:noProof/>
            <w:webHidden/>
          </w:rPr>
          <w:tab/>
        </w:r>
        <w:r>
          <w:rPr>
            <w:noProof/>
            <w:webHidden/>
          </w:rPr>
          <w:fldChar w:fldCharType="begin"/>
        </w:r>
        <w:r>
          <w:rPr>
            <w:noProof/>
            <w:webHidden/>
          </w:rPr>
          <w:instrText xml:space="preserve"> PAGEREF _Toc202259812 \h </w:instrText>
        </w:r>
        <w:r>
          <w:rPr>
            <w:noProof/>
            <w:webHidden/>
          </w:rPr>
        </w:r>
        <w:r>
          <w:rPr>
            <w:noProof/>
            <w:webHidden/>
          </w:rPr>
          <w:fldChar w:fldCharType="separate"/>
        </w:r>
        <w:r>
          <w:rPr>
            <w:noProof/>
            <w:webHidden/>
          </w:rPr>
          <w:t>6</w:t>
        </w:r>
        <w:r>
          <w:rPr>
            <w:noProof/>
            <w:webHidden/>
          </w:rPr>
          <w:fldChar w:fldCharType="end"/>
        </w:r>
      </w:hyperlink>
    </w:p>
    <w:p w14:paraId="0F22203F" w14:textId="6C0443EB" w:rsidR="00543774" w:rsidRDefault="00543774">
      <w:pPr>
        <w:pStyle w:val="TOC1"/>
        <w:tabs>
          <w:tab w:val="left" w:pos="480"/>
          <w:tab w:val="right" w:leader="dot" w:pos="9350"/>
        </w:tabs>
        <w:rPr>
          <w:noProof/>
          <w:kern w:val="2"/>
          <w:sz w:val="24"/>
          <w:szCs w:val="24"/>
          <w14:ligatures w14:val="standardContextual"/>
        </w:rPr>
      </w:pPr>
      <w:hyperlink w:anchor="_Toc202259813" w:history="1">
        <w:r w:rsidRPr="00164A60">
          <w:rPr>
            <w:rStyle w:val="Hyperlink"/>
            <w:noProof/>
          </w:rPr>
          <w:t>3</w:t>
        </w:r>
        <w:r>
          <w:rPr>
            <w:noProof/>
            <w:kern w:val="2"/>
            <w:sz w:val="24"/>
            <w:szCs w:val="24"/>
            <w14:ligatures w14:val="standardContextual"/>
          </w:rPr>
          <w:tab/>
        </w:r>
        <w:r w:rsidRPr="00164A60">
          <w:rPr>
            <w:rStyle w:val="Hyperlink"/>
            <w:noProof/>
          </w:rPr>
          <w:t>Process</w:t>
        </w:r>
        <w:r>
          <w:rPr>
            <w:noProof/>
            <w:webHidden/>
          </w:rPr>
          <w:tab/>
        </w:r>
        <w:r>
          <w:rPr>
            <w:noProof/>
            <w:webHidden/>
          </w:rPr>
          <w:fldChar w:fldCharType="begin"/>
        </w:r>
        <w:r>
          <w:rPr>
            <w:noProof/>
            <w:webHidden/>
          </w:rPr>
          <w:instrText xml:space="preserve"> PAGEREF _Toc202259813 \h </w:instrText>
        </w:r>
        <w:r>
          <w:rPr>
            <w:noProof/>
            <w:webHidden/>
          </w:rPr>
        </w:r>
        <w:r>
          <w:rPr>
            <w:noProof/>
            <w:webHidden/>
          </w:rPr>
          <w:fldChar w:fldCharType="separate"/>
        </w:r>
        <w:r>
          <w:rPr>
            <w:noProof/>
            <w:webHidden/>
          </w:rPr>
          <w:t>11</w:t>
        </w:r>
        <w:r>
          <w:rPr>
            <w:noProof/>
            <w:webHidden/>
          </w:rPr>
          <w:fldChar w:fldCharType="end"/>
        </w:r>
      </w:hyperlink>
    </w:p>
    <w:p w14:paraId="2B3BC1BE" w14:textId="14BD594B" w:rsidR="00543774" w:rsidRDefault="00543774">
      <w:pPr>
        <w:pStyle w:val="TOC1"/>
        <w:tabs>
          <w:tab w:val="right" w:leader="dot" w:pos="9350"/>
        </w:tabs>
        <w:rPr>
          <w:noProof/>
          <w:kern w:val="2"/>
          <w:sz w:val="24"/>
          <w:szCs w:val="24"/>
          <w14:ligatures w14:val="standardContextual"/>
        </w:rPr>
      </w:pPr>
      <w:hyperlink w:anchor="_Toc202259814" w:history="1">
        <w:r w:rsidRPr="00164A60">
          <w:rPr>
            <w:rStyle w:val="Hyperlink"/>
            <w:noProof/>
          </w:rPr>
          <w:t>Appendix: Examples</w:t>
        </w:r>
        <w:r>
          <w:rPr>
            <w:noProof/>
            <w:webHidden/>
          </w:rPr>
          <w:tab/>
        </w:r>
        <w:r>
          <w:rPr>
            <w:noProof/>
            <w:webHidden/>
          </w:rPr>
          <w:fldChar w:fldCharType="begin"/>
        </w:r>
        <w:r>
          <w:rPr>
            <w:noProof/>
            <w:webHidden/>
          </w:rPr>
          <w:instrText xml:space="preserve"> PAGEREF _Toc202259814 \h </w:instrText>
        </w:r>
        <w:r>
          <w:rPr>
            <w:noProof/>
            <w:webHidden/>
          </w:rPr>
        </w:r>
        <w:r>
          <w:rPr>
            <w:noProof/>
            <w:webHidden/>
          </w:rPr>
          <w:fldChar w:fldCharType="separate"/>
        </w:r>
        <w:r>
          <w:rPr>
            <w:noProof/>
            <w:webHidden/>
          </w:rPr>
          <w:t>14</w:t>
        </w:r>
        <w:r>
          <w:rPr>
            <w:noProof/>
            <w:webHidden/>
          </w:rPr>
          <w:fldChar w:fldCharType="end"/>
        </w:r>
      </w:hyperlink>
    </w:p>
    <w:p w14:paraId="4AC2B8CB" w14:textId="2E8459FC" w:rsidR="00BE6DD5" w:rsidRPr="00BE6DD5" w:rsidRDefault="00543774" w:rsidP="00BE6DD5">
      <w:pPr>
        <w:spacing w:before="100" w:beforeAutospacing="1" w:after="100" w:afterAutospacing="1" w:line="240" w:lineRule="auto"/>
        <w:rPr>
          <w:rStyle w:val="IntenseEmphasis"/>
          <w:i w:val="0"/>
          <w:iCs w:val="0"/>
        </w:rPr>
      </w:pPr>
      <w:r>
        <w:rPr>
          <w:rStyle w:val="IntenseEmphasis"/>
          <w:i w:val="0"/>
          <w:iCs w:val="0"/>
        </w:rPr>
        <w:fldChar w:fldCharType="end"/>
      </w:r>
    </w:p>
    <w:p w14:paraId="08221833" w14:textId="58493D4E" w:rsidR="001F792A" w:rsidRPr="008B62F6" w:rsidRDefault="001F792A" w:rsidP="00543774">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center"/>
        <w:rPr>
          <w:rStyle w:val="IntenseEmphasis"/>
        </w:rPr>
      </w:pPr>
      <w:r w:rsidRPr="008B62F6">
        <w:rPr>
          <w:rStyle w:val="IntenseEmphasis"/>
        </w:rPr>
        <w:t>Executive Summary</w:t>
      </w:r>
    </w:p>
    <w:p w14:paraId="5119FCA9" w14:textId="6BE743DD" w:rsidR="001F792A" w:rsidRPr="001F792A" w:rsidRDefault="001F792A" w:rsidP="00543774">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imes New Roman" w:eastAsia="Times New Roman" w:hAnsi="Times New Roman" w:cs="Times New Roman"/>
          <w:sz w:val="24"/>
          <w:szCs w:val="24"/>
        </w:rPr>
      </w:pPr>
      <w:r w:rsidRPr="001F792A">
        <w:rPr>
          <w:rFonts w:ascii="Times New Roman" w:eastAsia="Times New Roman" w:hAnsi="Times New Roman" w:cs="Times New Roman"/>
          <w:sz w:val="24"/>
          <w:szCs w:val="24"/>
        </w:rPr>
        <w:t>Ohio University</w:t>
      </w:r>
      <w:r w:rsidR="00543774">
        <w:rPr>
          <w:rFonts w:ascii="Times New Roman" w:eastAsia="Times New Roman" w:hAnsi="Times New Roman" w:cs="Times New Roman"/>
          <w:sz w:val="24"/>
          <w:szCs w:val="24"/>
        </w:rPr>
        <w:t>'</w:t>
      </w:r>
      <w:r w:rsidRPr="001F792A">
        <w:rPr>
          <w:rFonts w:ascii="Times New Roman" w:eastAsia="Times New Roman" w:hAnsi="Times New Roman" w:cs="Times New Roman"/>
          <w:sz w:val="24"/>
          <w:szCs w:val="24"/>
        </w:rPr>
        <w:t xml:space="preserve">s </w:t>
      </w:r>
      <w:r w:rsidRPr="001F792A">
        <w:rPr>
          <w:rFonts w:ascii="Times New Roman" w:eastAsia="Times New Roman" w:hAnsi="Times New Roman" w:cs="Times New Roman"/>
          <w:i/>
          <w:iCs/>
          <w:sz w:val="24"/>
          <w:szCs w:val="24"/>
        </w:rPr>
        <w:t>Peer Evaluation of Teaching Guidelines</w:t>
      </w:r>
      <w:r w:rsidRPr="001F792A">
        <w:rPr>
          <w:rFonts w:ascii="Times New Roman" w:eastAsia="Times New Roman" w:hAnsi="Times New Roman" w:cs="Times New Roman"/>
          <w:sz w:val="24"/>
          <w:szCs w:val="24"/>
        </w:rPr>
        <w:t xml:space="preserve"> establish</w:t>
      </w:r>
      <w:r w:rsidR="00543774">
        <w:rPr>
          <w:rFonts w:ascii="Times New Roman" w:eastAsia="Times New Roman" w:hAnsi="Times New Roman" w:cs="Times New Roman"/>
          <w:sz w:val="24"/>
          <w:szCs w:val="24"/>
        </w:rPr>
        <w:t>es</w:t>
      </w:r>
      <w:r w:rsidRPr="001F792A">
        <w:rPr>
          <w:rFonts w:ascii="Times New Roman" w:eastAsia="Times New Roman" w:hAnsi="Times New Roman" w:cs="Times New Roman"/>
          <w:sz w:val="24"/>
          <w:szCs w:val="24"/>
        </w:rPr>
        <w:t xml:space="preserve"> a structured, developmental system for peer review in compliance with Ohio Revised Code §3345.451, which requires faculty evaluations to emphasize professional development in teaching. Peer evaluation of teaching (PET) is defined as a collegial process in which faculty members provide informed, constructive, and evidence-based feedback on a colleague</w:t>
      </w:r>
      <w:r w:rsidR="00543774">
        <w:rPr>
          <w:rFonts w:ascii="Times New Roman" w:eastAsia="Times New Roman" w:hAnsi="Times New Roman" w:cs="Times New Roman"/>
          <w:sz w:val="24"/>
          <w:szCs w:val="24"/>
        </w:rPr>
        <w:t>'</w:t>
      </w:r>
      <w:r w:rsidRPr="001F792A">
        <w:rPr>
          <w:rFonts w:ascii="Times New Roman" w:eastAsia="Times New Roman" w:hAnsi="Times New Roman" w:cs="Times New Roman"/>
          <w:sz w:val="24"/>
          <w:szCs w:val="24"/>
        </w:rPr>
        <w:t>s teaching. These evaluations may serve formative or summative purposes and are required at least once every three years for all full-time faculty.</w:t>
      </w:r>
    </w:p>
    <w:p w14:paraId="6CFED0E9" w14:textId="675DA130" w:rsidR="001F792A" w:rsidRPr="001F792A" w:rsidRDefault="001F792A" w:rsidP="00543774">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imes New Roman" w:eastAsia="Times New Roman" w:hAnsi="Times New Roman" w:cs="Times New Roman"/>
          <w:sz w:val="24"/>
          <w:szCs w:val="24"/>
        </w:rPr>
      </w:pPr>
      <w:r w:rsidRPr="001F792A">
        <w:rPr>
          <w:rFonts w:ascii="Times New Roman" w:eastAsia="Times New Roman" w:hAnsi="Times New Roman" w:cs="Times New Roman"/>
          <w:sz w:val="24"/>
          <w:szCs w:val="24"/>
        </w:rPr>
        <w:t>The guidelines are grounded in eight core principles: developmental, flexible, evidence-based, aligned, collaborative, equitable, and clearly defining responsibility and authority. Evaluations are centered around Ohio University</w:t>
      </w:r>
      <w:r w:rsidR="00543774">
        <w:rPr>
          <w:rFonts w:ascii="Times New Roman" w:eastAsia="Times New Roman" w:hAnsi="Times New Roman" w:cs="Times New Roman"/>
          <w:sz w:val="24"/>
          <w:szCs w:val="24"/>
        </w:rPr>
        <w:t>'</w:t>
      </w:r>
      <w:r w:rsidRPr="001F792A">
        <w:rPr>
          <w:rFonts w:ascii="Times New Roman" w:eastAsia="Times New Roman" w:hAnsi="Times New Roman" w:cs="Times New Roman"/>
          <w:sz w:val="24"/>
          <w:szCs w:val="24"/>
        </w:rPr>
        <w:t>s eight criteria of teaching excellence—preparation, engagement, inclusion, subject expertise, pedagogical competence, outcomes, improvement, and adaptability/innovation—</w:t>
      </w:r>
      <w:r w:rsidR="00543774">
        <w:rPr>
          <w:rFonts w:ascii="Times New Roman" w:eastAsia="Times New Roman" w:hAnsi="Times New Roman" w:cs="Times New Roman"/>
          <w:sz w:val="24"/>
          <w:szCs w:val="24"/>
        </w:rPr>
        <w:t>approved initially</w:t>
      </w:r>
      <w:r w:rsidRPr="001F792A">
        <w:rPr>
          <w:rFonts w:ascii="Times New Roman" w:eastAsia="Times New Roman" w:hAnsi="Times New Roman" w:cs="Times New Roman"/>
          <w:sz w:val="24"/>
          <w:szCs w:val="24"/>
        </w:rPr>
        <w:t xml:space="preserve"> by </w:t>
      </w:r>
      <w:r w:rsidR="00543774">
        <w:rPr>
          <w:rFonts w:ascii="Times New Roman" w:eastAsia="Times New Roman" w:hAnsi="Times New Roman" w:cs="Times New Roman"/>
          <w:sz w:val="24"/>
          <w:szCs w:val="24"/>
        </w:rPr>
        <w:t xml:space="preserve">the </w:t>
      </w:r>
      <w:r w:rsidRPr="001F792A">
        <w:rPr>
          <w:rFonts w:ascii="Times New Roman" w:eastAsia="Times New Roman" w:hAnsi="Times New Roman" w:cs="Times New Roman"/>
          <w:sz w:val="24"/>
          <w:szCs w:val="24"/>
        </w:rPr>
        <w:t>Faculty Senate in December 2022.</w:t>
      </w:r>
    </w:p>
    <w:p w14:paraId="06A15B9B" w14:textId="0DFD959E" w:rsidR="001F792A" w:rsidRPr="001F792A" w:rsidRDefault="001F792A" w:rsidP="00543774">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imes New Roman" w:eastAsia="Times New Roman" w:hAnsi="Times New Roman" w:cs="Times New Roman"/>
          <w:sz w:val="24"/>
          <w:szCs w:val="24"/>
        </w:rPr>
      </w:pPr>
      <w:r w:rsidRPr="001F792A">
        <w:rPr>
          <w:rFonts w:ascii="Times New Roman" w:eastAsia="Times New Roman" w:hAnsi="Times New Roman" w:cs="Times New Roman"/>
          <w:sz w:val="24"/>
          <w:szCs w:val="24"/>
        </w:rPr>
        <w:t>Peer evaluations may incorporate evidence from multiple sources</w:t>
      </w:r>
      <w:r w:rsidR="00543774">
        <w:rPr>
          <w:rFonts w:ascii="Times New Roman" w:eastAsia="Times New Roman" w:hAnsi="Times New Roman" w:cs="Times New Roman"/>
          <w:sz w:val="24"/>
          <w:szCs w:val="24"/>
        </w:rPr>
        <w:t>,</w:t>
      </w:r>
      <w:r w:rsidRPr="001F792A">
        <w:rPr>
          <w:rFonts w:ascii="Times New Roman" w:eastAsia="Times New Roman" w:hAnsi="Times New Roman" w:cs="Times New Roman"/>
          <w:sz w:val="24"/>
          <w:szCs w:val="24"/>
        </w:rPr>
        <w:t xml:space="preserve"> including self-reflections, professional activities, student learning outcomes, and reviews by peers, experts, or external stakeholders. Evidence may be gathered through one or more of the following modalities: observation of teaching, review of teaching artifacts, assessment of student learning outcomes, or a combination thereof.</w:t>
      </w:r>
    </w:p>
    <w:p w14:paraId="7743FE94" w14:textId="77777777" w:rsidR="001F792A" w:rsidRPr="001F792A" w:rsidRDefault="001F792A" w:rsidP="00543774">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imes New Roman" w:eastAsia="Times New Roman" w:hAnsi="Times New Roman" w:cs="Times New Roman"/>
          <w:sz w:val="24"/>
          <w:szCs w:val="24"/>
        </w:rPr>
      </w:pPr>
      <w:r w:rsidRPr="001F792A">
        <w:rPr>
          <w:rFonts w:ascii="Times New Roman" w:eastAsia="Times New Roman" w:hAnsi="Times New Roman" w:cs="Times New Roman"/>
          <w:sz w:val="24"/>
          <w:szCs w:val="24"/>
        </w:rPr>
        <w:t>The peer evaluation process includes five key steps: (1) evaluator selection and training; (2) faculty input and goal setting; (3) evidence collection; (4) implementation of evaluation; and (5) written feedback and optional faculty response. Faculty members and evaluators collaborate to identify relevant teaching criteria and appropriate types of evidence for review.</w:t>
      </w:r>
    </w:p>
    <w:p w14:paraId="068A7997" w14:textId="77777777" w:rsidR="001F792A" w:rsidRDefault="001F792A" w:rsidP="00543774">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imes New Roman" w:eastAsia="Times New Roman" w:hAnsi="Times New Roman" w:cs="Times New Roman"/>
          <w:sz w:val="24"/>
          <w:szCs w:val="24"/>
        </w:rPr>
      </w:pPr>
      <w:r w:rsidRPr="001F792A">
        <w:rPr>
          <w:rFonts w:ascii="Times New Roman" w:eastAsia="Times New Roman" w:hAnsi="Times New Roman" w:cs="Times New Roman"/>
          <w:sz w:val="24"/>
          <w:szCs w:val="24"/>
        </w:rPr>
        <w:t xml:space="preserve">The overall goal is to support instructional excellence, foster reflective practice, and promote professional growth for faculty members. Evaluations are intended to be collegial, constructive, and aligned with disciplinary standards. Departments and colleges are expected to maintain records of evaluations and may </w:t>
      </w:r>
      <w:proofErr w:type="gramStart"/>
      <w:r w:rsidRPr="001F792A">
        <w:rPr>
          <w:rFonts w:ascii="Times New Roman" w:eastAsia="Times New Roman" w:hAnsi="Times New Roman" w:cs="Times New Roman"/>
          <w:sz w:val="24"/>
          <w:szCs w:val="24"/>
        </w:rPr>
        <w:t>adapt</w:t>
      </w:r>
      <w:proofErr w:type="gramEnd"/>
      <w:r w:rsidRPr="001F792A">
        <w:rPr>
          <w:rFonts w:ascii="Times New Roman" w:eastAsia="Times New Roman" w:hAnsi="Times New Roman" w:cs="Times New Roman"/>
          <w:sz w:val="24"/>
          <w:szCs w:val="24"/>
        </w:rPr>
        <w:t xml:space="preserve"> practices to reflect local priorities and course contexts.</w:t>
      </w:r>
    </w:p>
    <w:p w14:paraId="77A6680E" w14:textId="7D748764" w:rsidR="001F792A" w:rsidRPr="00543774" w:rsidRDefault="001F792A" w:rsidP="00543774">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PET examples based on different scenarios are offered in the </w:t>
      </w:r>
      <w:hyperlink w:anchor="_Appendix" w:history="1">
        <w:r w:rsidRPr="00842673">
          <w:rPr>
            <w:rStyle w:val="Hyperlink"/>
            <w:rFonts w:ascii="Times New Roman" w:eastAsia="Times New Roman" w:hAnsi="Times New Roman" w:cs="Times New Roman"/>
            <w:sz w:val="24"/>
            <w:szCs w:val="24"/>
          </w:rPr>
          <w:t>Appendix</w:t>
        </w:r>
      </w:hyperlink>
      <w:r>
        <w:rPr>
          <w:rFonts w:ascii="Times New Roman" w:eastAsia="Times New Roman" w:hAnsi="Times New Roman" w:cs="Times New Roman"/>
          <w:sz w:val="24"/>
          <w:szCs w:val="24"/>
        </w:rPr>
        <w:t>.</w:t>
      </w:r>
    </w:p>
    <w:p w14:paraId="0E186DE5" w14:textId="7A786422" w:rsidR="00892B48" w:rsidRDefault="00892B48" w:rsidP="00D5187A">
      <w:pPr>
        <w:pStyle w:val="Heading1"/>
        <w:spacing w:line="240" w:lineRule="auto"/>
      </w:pPr>
      <w:bookmarkStart w:id="0" w:name="_Toc202259811"/>
      <w:r>
        <w:lastRenderedPageBreak/>
        <w:t>Foundation</w:t>
      </w:r>
      <w:r w:rsidR="00E32E60">
        <w:t>s</w:t>
      </w:r>
      <w:bookmarkEnd w:id="0"/>
    </w:p>
    <w:p w14:paraId="4DE34191" w14:textId="2BB50E53" w:rsidR="00F64931" w:rsidRPr="00F32BD6" w:rsidRDefault="003E7405" w:rsidP="00D5187A">
      <w:pPr>
        <w:pStyle w:val="Heading2"/>
        <w:spacing w:line="240" w:lineRule="auto"/>
      </w:pPr>
      <w:r w:rsidRPr="00F32BD6">
        <w:t>Definition</w:t>
      </w:r>
      <w:r w:rsidR="006050D7">
        <w:t>s</w:t>
      </w:r>
    </w:p>
    <w:p w14:paraId="6CD8D41B" w14:textId="77777777" w:rsidR="00D5187A" w:rsidRDefault="00D5187A" w:rsidP="00D5187A">
      <w:pPr>
        <w:spacing w:after="0" w:line="240" w:lineRule="auto"/>
        <w:contextualSpacing/>
      </w:pPr>
    </w:p>
    <w:p w14:paraId="225728E6" w14:textId="43C4A561" w:rsidR="00F64931" w:rsidRPr="007F3230" w:rsidRDefault="003E7405" w:rsidP="00D5187A">
      <w:pPr>
        <w:spacing w:after="0" w:line="240" w:lineRule="auto"/>
        <w:contextualSpacing/>
        <w:rPr>
          <w:sz w:val="24"/>
          <w:szCs w:val="24"/>
        </w:rPr>
      </w:pPr>
      <w:r w:rsidRPr="007F3230">
        <w:rPr>
          <w:sz w:val="24"/>
          <w:szCs w:val="24"/>
        </w:rPr>
        <w:t xml:space="preserve">Peer </w:t>
      </w:r>
      <w:r w:rsidR="00586231" w:rsidRPr="007F3230">
        <w:rPr>
          <w:sz w:val="24"/>
          <w:szCs w:val="24"/>
        </w:rPr>
        <w:t xml:space="preserve">evaluation </w:t>
      </w:r>
      <w:r w:rsidRPr="007F3230">
        <w:rPr>
          <w:sz w:val="24"/>
          <w:szCs w:val="24"/>
        </w:rPr>
        <w:t xml:space="preserve">of teaching </w:t>
      </w:r>
      <w:r w:rsidR="00036614" w:rsidRPr="007F3230">
        <w:rPr>
          <w:sz w:val="24"/>
          <w:szCs w:val="24"/>
        </w:rPr>
        <w:t>(</w:t>
      </w:r>
      <w:r w:rsidR="00586231" w:rsidRPr="007F3230">
        <w:rPr>
          <w:sz w:val="24"/>
          <w:szCs w:val="24"/>
        </w:rPr>
        <w:t>PET</w:t>
      </w:r>
      <w:r w:rsidR="00036614" w:rsidRPr="007F3230">
        <w:rPr>
          <w:sz w:val="24"/>
          <w:szCs w:val="24"/>
        </w:rPr>
        <w:t xml:space="preserve">) </w:t>
      </w:r>
      <w:r w:rsidRPr="007F3230">
        <w:rPr>
          <w:sz w:val="24"/>
          <w:szCs w:val="24"/>
        </w:rPr>
        <w:t>is a collegial process in which faculty members provide informed, constructive, and evidence-based feedback on a colleague</w:t>
      </w:r>
      <w:r w:rsidR="00543774">
        <w:rPr>
          <w:sz w:val="24"/>
          <w:szCs w:val="24"/>
        </w:rPr>
        <w:t>'</w:t>
      </w:r>
      <w:r w:rsidRPr="007F3230">
        <w:rPr>
          <w:sz w:val="24"/>
          <w:szCs w:val="24"/>
        </w:rPr>
        <w:t xml:space="preserve">s teaching. </w:t>
      </w:r>
      <w:r w:rsidR="00036614" w:rsidRPr="007F3230">
        <w:rPr>
          <w:sz w:val="24"/>
          <w:szCs w:val="24"/>
        </w:rPr>
        <w:t xml:space="preserve">Broadly, it involves faculty members collaboratively assessing </w:t>
      </w:r>
      <w:r w:rsidR="00D37DD9">
        <w:rPr>
          <w:sz w:val="24"/>
          <w:szCs w:val="24"/>
        </w:rPr>
        <w:t>each other</w:t>
      </w:r>
      <w:r w:rsidR="00543774">
        <w:rPr>
          <w:sz w:val="24"/>
          <w:szCs w:val="24"/>
        </w:rPr>
        <w:t>'</w:t>
      </w:r>
      <w:r w:rsidR="00D37DD9">
        <w:rPr>
          <w:sz w:val="24"/>
          <w:szCs w:val="24"/>
        </w:rPr>
        <w:t>s</w:t>
      </w:r>
      <w:r w:rsidR="00036614" w:rsidRPr="007F3230">
        <w:rPr>
          <w:sz w:val="24"/>
          <w:szCs w:val="24"/>
        </w:rPr>
        <w:t xml:space="preserve"> teaching methods, materials, and effectiveness.</w:t>
      </w:r>
    </w:p>
    <w:p w14:paraId="1EB4331E" w14:textId="77777777" w:rsidR="006050D7" w:rsidRPr="007F3230" w:rsidRDefault="006050D7" w:rsidP="00D5187A">
      <w:pPr>
        <w:spacing w:after="0" w:line="240" w:lineRule="auto"/>
        <w:contextualSpacing/>
        <w:rPr>
          <w:sz w:val="24"/>
          <w:szCs w:val="24"/>
        </w:rPr>
      </w:pPr>
    </w:p>
    <w:p w14:paraId="598DF50F" w14:textId="0A5DA8FE" w:rsidR="002F1258" w:rsidRDefault="006050D7" w:rsidP="00D5187A">
      <w:pPr>
        <w:spacing w:after="0" w:line="240" w:lineRule="auto"/>
        <w:contextualSpacing/>
        <w:rPr>
          <w:sz w:val="24"/>
          <w:szCs w:val="24"/>
        </w:rPr>
      </w:pPr>
      <w:r w:rsidRPr="007F3230">
        <w:rPr>
          <w:sz w:val="24"/>
          <w:szCs w:val="24"/>
        </w:rPr>
        <w:t>For the purposes of these guidelines, the following definitions apply</w:t>
      </w:r>
      <w:r w:rsidR="002F1258" w:rsidRPr="007F3230">
        <w:rPr>
          <w:sz w:val="24"/>
          <w:szCs w:val="24"/>
        </w:rPr>
        <w:t>.</w:t>
      </w:r>
    </w:p>
    <w:p w14:paraId="56C7D61F" w14:textId="77777777" w:rsidR="00E45648" w:rsidRDefault="00E45648" w:rsidP="00D5187A">
      <w:pPr>
        <w:spacing w:after="0" w:line="240" w:lineRule="auto"/>
        <w:contextualSpacing/>
        <w:rPr>
          <w:sz w:val="24"/>
          <w:szCs w:val="24"/>
        </w:rPr>
      </w:pPr>
    </w:p>
    <w:tbl>
      <w:tblPr>
        <w:tblStyle w:val="GridTable1Light-Accent2"/>
        <w:tblW w:w="0" w:type="auto"/>
        <w:tblLook w:val="0420" w:firstRow="1" w:lastRow="0" w:firstColumn="0" w:lastColumn="0" w:noHBand="0" w:noVBand="1"/>
      </w:tblPr>
      <w:tblGrid>
        <w:gridCol w:w="2240"/>
        <w:gridCol w:w="7100"/>
      </w:tblGrid>
      <w:tr w:rsidR="00E45648" w:rsidRPr="00E45648" w14:paraId="7C1385F5" w14:textId="77777777" w:rsidTr="00E45648">
        <w:trPr>
          <w:cnfStyle w:val="100000000000" w:firstRow="1" w:lastRow="0" w:firstColumn="0" w:lastColumn="0" w:oddVBand="0" w:evenVBand="0" w:oddHBand="0" w:evenHBand="0" w:firstRowFirstColumn="0" w:firstRowLastColumn="0" w:lastRowFirstColumn="0" w:lastRowLastColumn="0"/>
          <w:trHeight w:val="330"/>
        </w:trPr>
        <w:tc>
          <w:tcPr>
            <w:tcW w:w="2240" w:type="dxa"/>
            <w:hideMark/>
          </w:tcPr>
          <w:p w14:paraId="79A0E96F" w14:textId="77777777" w:rsidR="00E45648" w:rsidRPr="00E45648" w:rsidRDefault="00E45648" w:rsidP="00E45648">
            <w:pPr>
              <w:spacing w:before="120" w:after="120"/>
              <w:rPr>
                <w:rFonts w:ascii="Times New Roman" w:eastAsia="Times New Roman" w:hAnsi="Times New Roman" w:cs="Times New Roman"/>
                <w:color w:val="000000"/>
                <w:sz w:val="24"/>
                <w:szCs w:val="24"/>
              </w:rPr>
            </w:pPr>
            <w:r w:rsidRPr="00E45648">
              <w:rPr>
                <w:rFonts w:ascii="Times New Roman" w:eastAsia="Times New Roman" w:hAnsi="Times New Roman" w:cstheme="minorHAnsi"/>
                <w:color w:val="000000"/>
                <w:sz w:val="24"/>
                <w:szCs w:val="24"/>
              </w:rPr>
              <w:t>Term</w:t>
            </w:r>
          </w:p>
        </w:tc>
        <w:tc>
          <w:tcPr>
            <w:tcW w:w="7100" w:type="dxa"/>
            <w:hideMark/>
          </w:tcPr>
          <w:p w14:paraId="2D283F5C" w14:textId="77777777" w:rsidR="00E45648" w:rsidRPr="00E45648" w:rsidRDefault="00E45648" w:rsidP="00E45648">
            <w:pPr>
              <w:spacing w:before="120" w:after="120"/>
              <w:rPr>
                <w:rFonts w:ascii="Times New Roman" w:eastAsia="Times New Roman" w:hAnsi="Times New Roman" w:cs="Times New Roman"/>
                <w:color w:val="000000"/>
                <w:sz w:val="24"/>
                <w:szCs w:val="24"/>
              </w:rPr>
            </w:pPr>
            <w:r w:rsidRPr="00E45648">
              <w:rPr>
                <w:rFonts w:ascii="Times New Roman" w:eastAsia="Times New Roman" w:hAnsi="Times New Roman" w:cstheme="minorHAnsi"/>
                <w:color w:val="000000"/>
                <w:sz w:val="24"/>
                <w:szCs w:val="24"/>
              </w:rPr>
              <w:t>Definition / Description</w:t>
            </w:r>
          </w:p>
        </w:tc>
      </w:tr>
      <w:tr w:rsidR="00E45648" w:rsidRPr="00E45648" w14:paraId="4380B1D7" w14:textId="77777777" w:rsidTr="00E45648">
        <w:trPr>
          <w:trHeight w:val="645"/>
        </w:trPr>
        <w:tc>
          <w:tcPr>
            <w:tcW w:w="2240" w:type="dxa"/>
            <w:hideMark/>
          </w:tcPr>
          <w:p w14:paraId="14070A88" w14:textId="77777777" w:rsidR="00E45648" w:rsidRPr="00E45648" w:rsidRDefault="00E45648" w:rsidP="00E45648">
            <w:pPr>
              <w:spacing w:before="120" w:after="120"/>
              <w:rPr>
                <w:rFonts w:ascii="Times New Roman" w:eastAsia="Times New Roman" w:hAnsi="Times New Roman" w:cs="Times New Roman"/>
                <w:color w:val="000000"/>
                <w:sz w:val="24"/>
                <w:szCs w:val="24"/>
              </w:rPr>
            </w:pPr>
            <w:r w:rsidRPr="00E45648">
              <w:rPr>
                <w:rFonts w:ascii="Times New Roman" w:eastAsia="Times New Roman" w:hAnsi="Times New Roman" w:cstheme="minorHAnsi"/>
                <w:color w:val="000000"/>
                <w:sz w:val="24"/>
                <w:szCs w:val="24"/>
              </w:rPr>
              <w:t>Assessment</w:t>
            </w:r>
          </w:p>
        </w:tc>
        <w:tc>
          <w:tcPr>
            <w:tcW w:w="7100" w:type="dxa"/>
            <w:hideMark/>
          </w:tcPr>
          <w:p w14:paraId="6D2BC710" w14:textId="77777777" w:rsidR="00E45648" w:rsidRPr="00E45648" w:rsidRDefault="00E45648" w:rsidP="00E45648">
            <w:pPr>
              <w:spacing w:before="120" w:after="120"/>
              <w:rPr>
                <w:rFonts w:ascii="Times New Roman" w:eastAsia="Times New Roman" w:hAnsi="Times New Roman" w:cs="Times New Roman"/>
                <w:color w:val="000000"/>
                <w:sz w:val="24"/>
                <w:szCs w:val="24"/>
              </w:rPr>
            </w:pPr>
            <w:r w:rsidRPr="00E45648">
              <w:rPr>
                <w:rFonts w:ascii="Times New Roman" w:eastAsia="Times New Roman" w:hAnsi="Times New Roman" w:cstheme="minorHAnsi"/>
                <w:color w:val="000000"/>
                <w:sz w:val="24"/>
                <w:szCs w:val="24"/>
              </w:rPr>
              <w:t>A measurement of specific aspects of teaching, such as student engagement or achievement of learning outcomes, using rubrics, observation protocols, and/or course artifacts.</w:t>
            </w:r>
          </w:p>
        </w:tc>
      </w:tr>
      <w:tr w:rsidR="00E45648" w:rsidRPr="00E45648" w14:paraId="491C16B1" w14:textId="77777777" w:rsidTr="00E45648">
        <w:trPr>
          <w:trHeight w:val="645"/>
        </w:trPr>
        <w:tc>
          <w:tcPr>
            <w:tcW w:w="2240" w:type="dxa"/>
            <w:hideMark/>
          </w:tcPr>
          <w:p w14:paraId="3B3356DA" w14:textId="77777777" w:rsidR="00E45648" w:rsidRPr="00E45648" w:rsidRDefault="00E45648" w:rsidP="00E45648">
            <w:pPr>
              <w:spacing w:before="120" w:after="120"/>
              <w:rPr>
                <w:rFonts w:ascii="Times New Roman" w:eastAsia="Times New Roman" w:hAnsi="Times New Roman" w:cs="Times New Roman"/>
                <w:color w:val="000000"/>
                <w:sz w:val="24"/>
                <w:szCs w:val="24"/>
              </w:rPr>
            </w:pPr>
            <w:r w:rsidRPr="00E45648">
              <w:rPr>
                <w:rFonts w:ascii="Times New Roman" w:eastAsia="Times New Roman" w:hAnsi="Times New Roman" w:cs="Times New Roman"/>
                <w:color w:val="000000"/>
                <w:sz w:val="24"/>
                <w:szCs w:val="24"/>
              </w:rPr>
              <w:t>Assessor(s)</w:t>
            </w:r>
          </w:p>
        </w:tc>
        <w:tc>
          <w:tcPr>
            <w:tcW w:w="7100" w:type="dxa"/>
            <w:hideMark/>
          </w:tcPr>
          <w:p w14:paraId="3B97C98E" w14:textId="77777777" w:rsidR="00E45648" w:rsidRPr="00E45648" w:rsidRDefault="00E45648" w:rsidP="00E45648">
            <w:pPr>
              <w:spacing w:before="120" w:after="120"/>
              <w:rPr>
                <w:rFonts w:ascii="Times New Roman" w:eastAsia="Times New Roman" w:hAnsi="Times New Roman" w:cs="Times New Roman"/>
                <w:color w:val="000000"/>
                <w:sz w:val="24"/>
                <w:szCs w:val="24"/>
              </w:rPr>
            </w:pPr>
            <w:r w:rsidRPr="00E45648">
              <w:rPr>
                <w:rFonts w:ascii="Times New Roman" w:eastAsia="Times New Roman" w:hAnsi="Times New Roman" w:cs="Times New Roman"/>
                <w:color w:val="000000"/>
                <w:sz w:val="24"/>
                <w:szCs w:val="24"/>
              </w:rPr>
              <w:t>Individual(s) – peer, expert, or student – responsible for measuring specific aspects of teaching practices using rubrics, observation protocols, and/or course artifacts.</w:t>
            </w:r>
          </w:p>
        </w:tc>
      </w:tr>
      <w:tr w:rsidR="00E45648" w:rsidRPr="00E45648" w14:paraId="54FC5926" w14:textId="77777777" w:rsidTr="00E45648">
        <w:trPr>
          <w:trHeight w:val="960"/>
        </w:trPr>
        <w:tc>
          <w:tcPr>
            <w:tcW w:w="2240" w:type="dxa"/>
            <w:hideMark/>
          </w:tcPr>
          <w:p w14:paraId="559F506D" w14:textId="77777777" w:rsidR="00E45648" w:rsidRPr="00E45648" w:rsidRDefault="00E45648" w:rsidP="00E45648">
            <w:pPr>
              <w:spacing w:before="120" w:after="120"/>
              <w:rPr>
                <w:rFonts w:ascii="Times New Roman" w:eastAsia="Times New Roman" w:hAnsi="Times New Roman" w:cs="Times New Roman"/>
                <w:color w:val="000000"/>
                <w:sz w:val="24"/>
                <w:szCs w:val="24"/>
              </w:rPr>
            </w:pPr>
            <w:r w:rsidRPr="00E45648">
              <w:rPr>
                <w:rFonts w:ascii="Times New Roman" w:eastAsia="Times New Roman" w:hAnsi="Times New Roman" w:cs="Times New Roman"/>
                <w:color w:val="000000"/>
                <w:sz w:val="24"/>
                <w:szCs w:val="24"/>
              </w:rPr>
              <w:t>Evaluator(s)</w:t>
            </w:r>
          </w:p>
        </w:tc>
        <w:tc>
          <w:tcPr>
            <w:tcW w:w="7100" w:type="dxa"/>
            <w:hideMark/>
          </w:tcPr>
          <w:p w14:paraId="5BDD546A" w14:textId="04DCAA08" w:rsidR="00E45648" w:rsidRPr="00E45648" w:rsidRDefault="00E45648" w:rsidP="00E45648">
            <w:pPr>
              <w:spacing w:before="120" w:after="120"/>
              <w:rPr>
                <w:rFonts w:ascii="Times New Roman" w:eastAsia="Times New Roman" w:hAnsi="Times New Roman" w:cs="Times New Roman"/>
                <w:color w:val="000000"/>
                <w:sz w:val="24"/>
                <w:szCs w:val="24"/>
              </w:rPr>
            </w:pPr>
            <w:r w:rsidRPr="00E45648">
              <w:rPr>
                <w:rFonts w:ascii="Times New Roman" w:eastAsia="Times New Roman" w:hAnsi="Times New Roman" w:cs="Times New Roman"/>
                <w:color w:val="000000"/>
                <w:sz w:val="24"/>
                <w:szCs w:val="24"/>
              </w:rPr>
              <w:t>Peer(s) who are responsible for providing informed, constructive, and evidence-based feedback of evidence submitted for the peer evaluation (of teaching) and for making a judgment about the effectiveness of aspects of faculty member</w:t>
            </w:r>
            <w:r w:rsidR="00543774">
              <w:rPr>
                <w:rFonts w:ascii="Times New Roman" w:eastAsia="Times New Roman" w:hAnsi="Times New Roman" w:cs="Times New Roman"/>
                <w:color w:val="000000"/>
                <w:sz w:val="24"/>
                <w:szCs w:val="24"/>
              </w:rPr>
              <w:t>'</w:t>
            </w:r>
            <w:r w:rsidRPr="00E45648">
              <w:rPr>
                <w:rFonts w:ascii="Times New Roman" w:eastAsia="Times New Roman" w:hAnsi="Times New Roman" w:cs="Times New Roman"/>
                <w:color w:val="000000"/>
                <w:sz w:val="24"/>
                <w:szCs w:val="24"/>
              </w:rPr>
              <w:t>s teaching being evaluated.</w:t>
            </w:r>
          </w:p>
        </w:tc>
      </w:tr>
      <w:tr w:rsidR="00E45648" w:rsidRPr="00E45648" w14:paraId="0A66B875" w14:textId="77777777" w:rsidTr="00E45648">
        <w:trPr>
          <w:trHeight w:val="1275"/>
        </w:trPr>
        <w:tc>
          <w:tcPr>
            <w:tcW w:w="2240" w:type="dxa"/>
            <w:hideMark/>
          </w:tcPr>
          <w:p w14:paraId="6FF4DD32" w14:textId="77777777" w:rsidR="00E45648" w:rsidRPr="00E45648" w:rsidRDefault="00E45648" w:rsidP="00E45648">
            <w:pPr>
              <w:spacing w:before="120" w:after="120"/>
              <w:rPr>
                <w:rFonts w:ascii="Times New Roman" w:eastAsia="Times New Roman" w:hAnsi="Times New Roman" w:cs="Times New Roman"/>
                <w:color w:val="000000"/>
                <w:sz w:val="24"/>
                <w:szCs w:val="24"/>
              </w:rPr>
            </w:pPr>
            <w:r w:rsidRPr="00E45648">
              <w:rPr>
                <w:rFonts w:ascii="Times New Roman" w:eastAsia="Times New Roman" w:hAnsi="Times New Roman" w:cstheme="minorHAnsi"/>
                <w:color w:val="000000"/>
                <w:sz w:val="24"/>
                <w:szCs w:val="24"/>
              </w:rPr>
              <w:t>Expert(s)</w:t>
            </w:r>
          </w:p>
        </w:tc>
        <w:tc>
          <w:tcPr>
            <w:tcW w:w="7100" w:type="dxa"/>
            <w:hideMark/>
          </w:tcPr>
          <w:p w14:paraId="1FD6B191" w14:textId="77777777" w:rsidR="00E45648" w:rsidRPr="00E45648" w:rsidRDefault="00E45648" w:rsidP="00E45648">
            <w:pPr>
              <w:spacing w:before="120" w:after="120"/>
              <w:rPr>
                <w:rFonts w:ascii="Times New Roman" w:eastAsia="Times New Roman" w:hAnsi="Times New Roman" w:cs="Times New Roman"/>
                <w:color w:val="000000"/>
                <w:sz w:val="24"/>
                <w:szCs w:val="24"/>
              </w:rPr>
            </w:pPr>
            <w:r w:rsidRPr="00E45648">
              <w:rPr>
                <w:rFonts w:ascii="Times New Roman" w:eastAsia="Times New Roman" w:hAnsi="Times New Roman" w:cstheme="minorHAnsi"/>
                <w:color w:val="000000"/>
                <w:sz w:val="24"/>
                <w:szCs w:val="24"/>
              </w:rPr>
              <w:t>Individuals with specialized knowledge in pedagogy, instructional design, or teaching assessment, such as instructional designers, faculty developers, or educational consultants, who may contribute to the evaluation process by offering objective, research-informed perspectives on teaching quality.</w:t>
            </w:r>
          </w:p>
        </w:tc>
      </w:tr>
      <w:tr w:rsidR="00E45648" w:rsidRPr="00E45648" w14:paraId="6ACF140F" w14:textId="77777777" w:rsidTr="00E45648">
        <w:trPr>
          <w:trHeight w:val="960"/>
        </w:trPr>
        <w:tc>
          <w:tcPr>
            <w:tcW w:w="2240" w:type="dxa"/>
            <w:hideMark/>
          </w:tcPr>
          <w:p w14:paraId="21BF1D7F" w14:textId="77777777" w:rsidR="00E45648" w:rsidRPr="00E45648" w:rsidRDefault="00E45648" w:rsidP="00E45648">
            <w:pPr>
              <w:spacing w:before="120" w:after="120"/>
              <w:rPr>
                <w:rFonts w:ascii="Times New Roman" w:eastAsia="Times New Roman" w:hAnsi="Times New Roman" w:cs="Times New Roman"/>
                <w:color w:val="000000"/>
                <w:sz w:val="24"/>
                <w:szCs w:val="24"/>
              </w:rPr>
            </w:pPr>
            <w:r w:rsidRPr="00E45648">
              <w:rPr>
                <w:rFonts w:ascii="Times New Roman" w:eastAsia="Times New Roman" w:hAnsi="Times New Roman" w:cs="Times New Roman"/>
                <w:color w:val="000000"/>
                <w:sz w:val="24"/>
                <w:szCs w:val="24"/>
              </w:rPr>
              <w:t>Formative Evaluation</w:t>
            </w:r>
          </w:p>
        </w:tc>
        <w:tc>
          <w:tcPr>
            <w:tcW w:w="7100" w:type="dxa"/>
            <w:hideMark/>
          </w:tcPr>
          <w:p w14:paraId="3BDB656E" w14:textId="77777777" w:rsidR="00E45648" w:rsidRPr="00E45648" w:rsidRDefault="00E45648" w:rsidP="00E45648">
            <w:pPr>
              <w:spacing w:before="120" w:after="120"/>
              <w:rPr>
                <w:rFonts w:ascii="Times New Roman" w:eastAsia="Times New Roman" w:hAnsi="Times New Roman" w:cs="Times New Roman"/>
                <w:color w:val="000000"/>
                <w:sz w:val="24"/>
                <w:szCs w:val="24"/>
              </w:rPr>
            </w:pPr>
            <w:r w:rsidRPr="00E45648">
              <w:rPr>
                <w:rFonts w:ascii="Times New Roman" w:eastAsia="Times New Roman" w:hAnsi="Times New Roman" w:cs="Times New Roman"/>
                <w:color w:val="000000"/>
                <w:sz w:val="24"/>
                <w:szCs w:val="24"/>
              </w:rPr>
              <w:t>A developmental evaluation focused on improving teaching effectiveness, conducted during the course or academic year, and intended to provide constructive feedback for faculty growth without direct personnel consequences.</w:t>
            </w:r>
          </w:p>
        </w:tc>
      </w:tr>
      <w:tr w:rsidR="00E45648" w:rsidRPr="00E45648" w14:paraId="2845D95E" w14:textId="77777777" w:rsidTr="00E45648">
        <w:trPr>
          <w:trHeight w:val="645"/>
        </w:trPr>
        <w:tc>
          <w:tcPr>
            <w:tcW w:w="2240" w:type="dxa"/>
            <w:hideMark/>
          </w:tcPr>
          <w:p w14:paraId="25418141" w14:textId="77777777" w:rsidR="00E45648" w:rsidRPr="00E45648" w:rsidRDefault="00E45648" w:rsidP="00E45648">
            <w:pPr>
              <w:spacing w:before="120" w:after="120"/>
              <w:rPr>
                <w:rFonts w:ascii="Times New Roman" w:eastAsia="Times New Roman" w:hAnsi="Times New Roman" w:cs="Times New Roman"/>
                <w:color w:val="000000"/>
                <w:sz w:val="24"/>
                <w:szCs w:val="24"/>
              </w:rPr>
            </w:pPr>
            <w:r w:rsidRPr="00E45648">
              <w:rPr>
                <w:rFonts w:ascii="Times New Roman" w:eastAsia="Times New Roman" w:hAnsi="Times New Roman" w:cs="Times New Roman"/>
                <w:color w:val="000000"/>
                <w:sz w:val="24"/>
                <w:szCs w:val="24"/>
              </w:rPr>
              <w:t>Observer(s)</w:t>
            </w:r>
          </w:p>
        </w:tc>
        <w:tc>
          <w:tcPr>
            <w:tcW w:w="7100" w:type="dxa"/>
            <w:hideMark/>
          </w:tcPr>
          <w:p w14:paraId="5D08738D" w14:textId="77777777" w:rsidR="00E45648" w:rsidRPr="00E45648" w:rsidRDefault="00E45648" w:rsidP="00E45648">
            <w:pPr>
              <w:spacing w:before="120" w:after="120"/>
              <w:rPr>
                <w:rFonts w:ascii="Times New Roman" w:eastAsia="Times New Roman" w:hAnsi="Times New Roman" w:cs="Times New Roman"/>
                <w:color w:val="000000"/>
                <w:sz w:val="24"/>
                <w:szCs w:val="24"/>
              </w:rPr>
            </w:pPr>
            <w:r w:rsidRPr="00E45648">
              <w:rPr>
                <w:rFonts w:ascii="Times New Roman" w:eastAsia="Times New Roman" w:hAnsi="Times New Roman" w:cs="Times New Roman"/>
                <w:color w:val="000000"/>
                <w:sz w:val="24"/>
                <w:szCs w:val="24"/>
              </w:rPr>
              <w:t>Individual(s) (i.e., peer, expert, or student) responsible for conducting teaching observations according to teaching observation protocols.</w:t>
            </w:r>
          </w:p>
        </w:tc>
      </w:tr>
      <w:tr w:rsidR="00E45648" w:rsidRPr="00E45648" w14:paraId="540BF4F9" w14:textId="77777777" w:rsidTr="00E45648">
        <w:trPr>
          <w:trHeight w:val="645"/>
        </w:trPr>
        <w:tc>
          <w:tcPr>
            <w:tcW w:w="2240" w:type="dxa"/>
            <w:hideMark/>
          </w:tcPr>
          <w:p w14:paraId="1AB0A944" w14:textId="112EFC58" w:rsidR="00E45648" w:rsidRPr="00E45648" w:rsidRDefault="00E45648" w:rsidP="00E45648">
            <w:pPr>
              <w:spacing w:before="120" w:after="120"/>
              <w:rPr>
                <w:rFonts w:ascii="Times New Roman" w:eastAsia="Times New Roman" w:hAnsi="Times New Roman" w:cs="Times New Roman"/>
                <w:color w:val="000000"/>
                <w:sz w:val="24"/>
                <w:szCs w:val="24"/>
              </w:rPr>
            </w:pPr>
            <w:r w:rsidRPr="00E45648">
              <w:rPr>
                <w:rFonts w:ascii="Times New Roman" w:eastAsia="Times New Roman" w:hAnsi="Times New Roman" w:cstheme="minorHAnsi"/>
                <w:color w:val="000000"/>
                <w:sz w:val="24"/>
                <w:szCs w:val="24"/>
              </w:rPr>
              <w:t>OHIO</w:t>
            </w:r>
            <w:r w:rsidR="00543774">
              <w:rPr>
                <w:rFonts w:ascii="Times New Roman" w:eastAsia="Times New Roman" w:hAnsi="Times New Roman" w:cstheme="minorHAnsi"/>
                <w:color w:val="000000"/>
                <w:sz w:val="24"/>
                <w:szCs w:val="24"/>
              </w:rPr>
              <w:t>'</w:t>
            </w:r>
            <w:r w:rsidRPr="00E45648">
              <w:rPr>
                <w:rFonts w:ascii="Times New Roman" w:eastAsia="Times New Roman" w:hAnsi="Times New Roman" w:cstheme="minorHAnsi"/>
                <w:color w:val="000000"/>
                <w:sz w:val="24"/>
                <w:szCs w:val="24"/>
              </w:rPr>
              <w:t>s Teaching Excellence Criteria</w:t>
            </w:r>
          </w:p>
        </w:tc>
        <w:tc>
          <w:tcPr>
            <w:tcW w:w="7100" w:type="dxa"/>
            <w:hideMark/>
          </w:tcPr>
          <w:p w14:paraId="065A5F70" w14:textId="77777777" w:rsidR="00E45648" w:rsidRPr="00E45648" w:rsidRDefault="00E45648" w:rsidP="00E45648">
            <w:pPr>
              <w:spacing w:before="120" w:after="120"/>
              <w:rPr>
                <w:rFonts w:ascii="Times New Roman" w:eastAsia="Times New Roman" w:hAnsi="Times New Roman" w:cs="Times New Roman"/>
                <w:color w:val="000000"/>
                <w:sz w:val="24"/>
                <w:szCs w:val="24"/>
              </w:rPr>
            </w:pPr>
            <w:r w:rsidRPr="00E45648">
              <w:rPr>
                <w:rFonts w:ascii="Times New Roman" w:eastAsia="Times New Roman" w:hAnsi="Times New Roman" w:cstheme="minorHAnsi"/>
                <w:color w:val="000000"/>
                <w:sz w:val="24"/>
                <w:szCs w:val="24"/>
              </w:rPr>
              <w:t>The eight criteria defined by Ohio University as the broad basis for observing, reviewing, assessing, and evaluating teaching excellence.</w:t>
            </w:r>
          </w:p>
        </w:tc>
      </w:tr>
      <w:tr w:rsidR="00E45648" w:rsidRPr="00E45648" w14:paraId="60D56BD8" w14:textId="77777777" w:rsidTr="00E45648">
        <w:trPr>
          <w:trHeight w:val="960"/>
        </w:trPr>
        <w:tc>
          <w:tcPr>
            <w:tcW w:w="2240" w:type="dxa"/>
            <w:hideMark/>
          </w:tcPr>
          <w:p w14:paraId="69C1D184" w14:textId="77777777" w:rsidR="00E45648" w:rsidRPr="00E45648" w:rsidRDefault="00E45648" w:rsidP="00E45648">
            <w:pPr>
              <w:spacing w:before="120" w:after="120"/>
              <w:rPr>
                <w:rFonts w:ascii="Times New Roman" w:eastAsia="Times New Roman" w:hAnsi="Times New Roman" w:cs="Times New Roman"/>
                <w:color w:val="000000"/>
                <w:sz w:val="24"/>
                <w:szCs w:val="24"/>
              </w:rPr>
            </w:pPr>
            <w:r w:rsidRPr="00E45648">
              <w:rPr>
                <w:rFonts w:ascii="Times New Roman" w:eastAsia="Times New Roman" w:hAnsi="Times New Roman" w:cstheme="minorHAnsi"/>
                <w:color w:val="000000"/>
                <w:sz w:val="24"/>
                <w:szCs w:val="24"/>
              </w:rPr>
              <w:t>Peer Evaluation (of Teaching)</w:t>
            </w:r>
          </w:p>
        </w:tc>
        <w:tc>
          <w:tcPr>
            <w:tcW w:w="7100" w:type="dxa"/>
            <w:hideMark/>
          </w:tcPr>
          <w:p w14:paraId="4B8FA5B8" w14:textId="74A4F273" w:rsidR="00E45648" w:rsidRPr="00E45648" w:rsidRDefault="00E45648" w:rsidP="00E45648">
            <w:pPr>
              <w:spacing w:before="120" w:after="120"/>
              <w:rPr>
                <w:rFonts w:ascii="Times New Roman" w:eastAsia="Times New Roman" w:hAnsi="Times New Roman" w:cs="Times New Roman"/>
                <w:color w:val="000000"/>
                <w:sz w:val="24"/>
                <w:szCs w:val="24"/>
              </w:rPr>
            </w:pPr>
            <w:bookmarkStart w:id="1" w:name="RANGE!B9"/>
            <w:r w:rsidRPr="00E45648">
              <w:rPr>
                <w:rFonts w:ascii="Times New Roman" w:eastAsia="Times New Roman" w:hAnsi="Times New Roman" w:cstheme="minorHAnsi"/>
                <w:color w:val="000000"/>
                <w:sz w:val="24"/>
                <w:szCs w:val="24"/>
              </w:rPr>
              <w:t>A collegial process in which faculty members provide informed, constructive, and evidence-based feedback on a colleague</w:t>
            </w:r>
            <w:r w:rsidR="00543774">
              <w:rPr>
                <w:rFonts w:ascii="Times New Roman" w:eastAsia="Times New Roman" w:hAnsi="Times New Roman" w:cstheme="minorHAnsi"/>
                <w:color w:val="000000"/>
                <w:sz w:val="24"/>
                <w:szCs w:val="24"/>
              </w:rPr>
              <w:t>'</w:t>
            </w:r>
            <w:r w:rsidRPr="00E45648">
              <w:rPr>
                <w:rFonts w:ascii="Times New Roman" w:eastAsia="Times New Roman" w:hAnsi="Times New Roman" w:cstheme="minorHAnsi"/>
                <w:color w:val="000000"/>
                <w:sz w:val="24"/>
                <w:szCs w:val="24"/>
              </w:rPr>
              <w:t xml:space="preserve">s teaching. </w:t>
            </w:r>
            <w:r w:rsidRPr="00E45648">
              <w:rPr>
                <w:rFonts w:ascii="Times New Roman" w:eastAsia="Times New Roman" w:hAnsi="Times New Roman" w:cstheme="minorHAnsi"/>
                <w:color w:val="000000"/>
                <w:sz w:val="24"/>
                <w:szCs w:val="24"/>
              </w:rPr>
              <w:lastRenderedPageBreak/>
              <w:t>Evaluations should conclude with a judgment about the effectiveness of aspects of faculty member</w:t>
            </w:r>
            <w:r w:rsidR="00543774">
              <w:rPr>
                <w:rFonts w:ascii="Times New Roman" w:eastAsia="Times New Roman" w:hAnsi="Times New Roman" w:cstheme="minorHAnsi"/>
                <w:color w:val="000000"/>
                <w:sz w:val="24"/>
                <w:szCs w:val="24"/>
              </w:rPr>
              <w:t>'</w:t>
            </w:r>
            <w:r w:rsidRPr="00E45648">
              <w:rPr>
                <w:rFonts w:ascii="Times New Roman" w:eastAsia="Times New Roman" w:hAnsi="Times New Roman" w:cstheme="minorHAnsi"/>
                <w:color w:val="000000"/>
                <w:sz w:val="24"/>
                <w:szCs w:val="24"/>
              </w:rPr>
              <w:t>s teaching being evaluated.</w:t>
            </w:r>
            <w:bookmarkEnd w:id="1"/>
          </w:p>
        </w:tc>
      </w:tr>
      <w:tr w:rsidR="00E45648" w:rsidRPr="00E45648" w14:paraId="461CFE7E" w14:textId="77777777" w:rsidTr="00E45648">
        <w:trPr>
          <w:trHeight w:val="645"/>
        </w:trPr>
        <w:tc>
          <w:tcPr>
            <w:tcW w:w="2240" w:type="dxa"/>
            <w:hideMark/>
          </w:tcPr>
          <w:p w14:paraId="76971BCD" w14:textId="77777777" w:rsidR="00E45648" w:rsidRPr="00E45648" w:rsidRDefault="00E45648" w:rsidP="00E45648">
            <w:pPr>
              <w:spacing w:before="120" w:after="120"/>
              <w:rPr>
                <w:rFonts w:ascii="Times New Roman" w:eastAsia="Times New Roman" w:hAnsi="Times New Roman" w:cs="Times New Roman"/>
                <w:color w:val="000000"/>
                <w:sz w:val="24"/>
                <w:szCs w:val="24"/>
              </w:rPr>
            </w:pPr>
            <w:r w:rsidRPr="00E45648">
              <w:rPr>
                <w:rFonts w:ascii="Times New Roman" w:eastAsia="Times New Roman" w:hAnsi="Times New Roman" w:cstheme="minorHAnsi"/>
                <w:color w:val="000000"/>
                <w:sz w:val="24"/>
                <w:szCs w:val="24"/>
              </w:rPr>
              <w:lastRenderedPageBreak/>
              <w:t>Peer Evaluation Criteria</w:t>
            </w:r>
          </w:p>
        </w:tc>
        <w:tc>
          <w:tcPr>
            <w:tcW w:w="7100" w:type="dxa"/>
            <w:hideMark/>
          </w:tcPr>
          <w:p w14:paraId="1E127B9D" w14:textId="77777777" w:rsidR="00E45648" w:rsidRPr="00E45648" w:rsidRDefault="00E45648" w:rsidP="00E45648">
            <w:pPr>
              <w:spacing w:before="120" w:after="120"/>
              <w:rPr>
                <w:rFonts w:ascii="Times New Roman" w:eastAsia="Times New Roman" w:hAnsi="Times New Roman" w:cs="Times New Roman"/>
                <w:color w:val="000000"/>
                <w:sz w:val="24"/>
                <w:szCs w:val="24"/>
              </w:rPr>
            </w:pPr>
            <w:r w:rsidRPr="00E45648">
              <w:rPr>
                <w:rFonts w:ascii="Times New Roman" w:eastAsia="Times New Roman" w:hAnsi="Times New Roman" w:cstheme="minorHAnsi"/>
                <w:color w:val="000000"/>
                <w:sz w:val="24"/>
                <w:szCs w:val="24"/>
              </w:rPr>
              <w:t>The defined standards or benchmarks used to judge the quality of teaching during evaluations.</w:t>
            </w:r>
          </w:p>
        </w:tc>
      </w:tr>
      <w:tr w:rsidR="00E45648" w:rsidRPr="00E45648" w14:paraId="019CDBF0" w14:textId="77777777" w:rsidTr="00E45648">
        <w:trPr>
          <w:trHeight w:val="330"/>
        </w:trPr>
        <w:tc>
          <w:tcPr>
            <w:tcW w:w="2240" w:type="dxa"/>
            <w:hideMark/>
          </w:tcPr>
          <w:p w14:paraId="615BF40C" w14:textId="77777777" w:rsidR="00E45648" w:rsidRPr="00E45648" w:rsidRDefault="00E45648" w:rsidP="00E45648">
            <w:pPr>
              <w:spacing w:before="120" w:after="120"/>
              <w:rPr>
                <w:rFonts w:ascii="Times New Roman" w:eastAsia="Times New Roman" w:hAnsi="Times New Roman" w:cs="Times New Roman"/>
                <w:color w:val="000000"/>
                <w:sz w:val="24"/>
                <w:szCs w:val="24"/>
              </w:rPr>
            </w:pPr>
            <w:r w:rsidRPr="00E45648">
              <w:rPr>
                <w:rFonts w:ascii="Times New Roman" w:eastAsia="Times New Roman" w:hAnsi="Times New Roman" w:cs="Times New Roman"/>
                <w:color w:val="000000"/>
                <w:sz w:val="24"/>
                <w:szCs w:val="24"/>
              </w:rPr>
              <w:t>Peer Evaluation Process</w:t>
            </w:r>
          </w:p>
        </w:tc>
        <w:tc>
          <w:tcPr>
            <w:tcW w:w="7100" w:type="dxa"/>
            <w:hideMark/>
          </w:tcPr>
          <w:p w14:paraId="1FAE6D1E" w14:textId="77777777" w:rsidR="00E45648" w:rsidRPr="00E45648" w:rsidRDefault="00E45648" w:rsidP="00E45648">
            <w:pPr>
              <w:spacing w:before="120" w:after="120"/>
              <w:rPr>
                <w:rFonts w:ascii="Times New Roman" w:eastAsia="Times New Roman" w:hAnsi="Times New Roman" w:cs="Times New Roman"/>
                <w:color w:val="000000"/>
                <w:sz w:val="24"/>
                <w:szCs w:val="24"/>
              </w:rPr>
            </w:pPr>
            <w:r w:rsidRPr="00E45648">
              <w:rPr>
                <w:rFonts w:ascii="Times New Roman" w:eastAsia="Times New Roman" w:hAnsi="Times New Roman" w:cs="Times New Roman"/>
                <w:color w:val="000000"/>
                <w:sz w:val="24"/>
                <w:szCs w:val="24"/>
              </w:rPr>
              <w:t>The structured sequence of steps involved in conducting peer evaluations of teaching.</w:t>
            </w:r>
          </w:p>
        </w:tc>
      </w:tr>
      <w:tr w:rsidR="00E45648" w:rsidRPr="00E45648" w14:paraId="56217CD3" w14:textId="77777777" w:rsidTr="00E45648">
        <w:trPr>
          <w:trHeight w:val="960"/>
        </w:trPr>
        <w:tc>
          <w:tcPr>
            <w:tcW w:w="2240" w:type="dxa"/>
            <w:hideMark/>
          </w:tcPr>
          <w:p w14:paraId="79AE36F6" w14:textId="77777777" w:rsidR="00E45648" w:rsidRPr="00E45648" w:rsidRDefault="00E45648" w:rsidP="00E45648">
            <w:pPr>
              <w:spacing w:before="120" w:after="120"/>
              <w:rPr>
                <w:rFonts w:ascii="Times New Roman" w:eastAsia="Times New Roman" w:hAnsi="Times New Roman" w:cs="Times New Roman"/>
                <w:color w:val="000000"/>
                <w:sz w:val="24"/>
                <w:szCs w:val="24"/>
              </w:rPr>
            </w:pPr>
            <w:r w:rsidRPr="00E45648">
              <w:rPr>
                <w:rFonts w:ascii="Times New Roman" w:eastAsia="Times New Roman" w:hAnsi="Times New Roman" w:cs="Times New Roman"/>
                <w:color w:val="000000"/>
                <w:sz w:val="24"/>
                <w:szCs w:val="24"/>
              </w:rPr>
              <w:t>Peer(s)</w:t>
            </w:r>
          </w:p>
        </w:tc>
        <w:tc>
          <w:tcPr>
            <w:tcW w:w="7100" w:type="dxa"/>
            <w:hideMark/>
          </w:tcPr>
          <w:p w14:paraId="2B7F8517" w14:textId="57C931CB" w:rsidR="00E45648" w:rsidRPr="00E45648" w:rsidRDefault="00E45648" w:rsidP="00E45648">
            <w:pPr>
              <w:spacing w:before="120" w:after="120"/>
              <w:rPr>
                <w:rFonts w:ascii="Times New Roman" w:eastAsia="Times New Roman" w:hAnsi="Times New Roman" w:cs="Times New Roman"/>
                <w:color w:val="000000"/>
                <w:sz w:val="24"/>
                <w:szCs w:val="24"/>
              </w:rPr>
            </w:pPr>
            <w:r w:rsidRPr="00E45648">
              <w:rPr>
                <w:rFonts w:ascii="Times New Roman" w:eastAsia="Times New Roman" w:hAnsi="Times New Roman" w:cs="Times New Roman"/>
                <w:color w:val="000000"/>
                <w:sz w:val="24"/>
                <w:szCs w:val="24"/>
              </w:rPr>
              <w:t>Faculty colleagues, typically from the same or a closely related discipline</w:t>
            </w:r>
            <w:proofErr w:type="gramStart"/>
            <w:r w:rsidRPr="00E45648">
              <w:rPr>
                <w:rFonts w:ascii="Times New Roman" w:eastAsia="Times New Roman" w:hAnsi="Times New Roman" w:cs="Times New Roman"/>
                <w:color w:val="000000"/>
                <w:sz w:val="24"/>
                <w:szCs w:val="24"/>
              </w:rPr>
              <w:t>, who</w:t>
            </w:r>
            <w:proofErr w:type="gramEnd"/>
            <w:r w:rsidRPr="00E45648">
              <w:rPr>
                <w:rFonts w:ascii="Times New Roman" w:eastAsia="Times New Roman" w:hAnsi="Times New Roman" w:cs="Times New Roman"/>
                <w:color w:val="000000"/>
                <w:sz w:val="24"/>
                <w:szCs w:val="24"/>
              </w:rPr>
              <w:t xml:space="preserve"> may be asked to observe, review, assess, evaluate, and/or provide feedback on a colleague</w:t>
            </w:r>
            <w:r w:rsidR="00543774">
              <w:rPr>
                <w:rFonts w:ascii="Times New Roman" w:eastAsia="Times New Roman" w:hAnsi="Times New Roman" w:cs="Times New Roman"/>
                <w:color w:val="000000"/>
                <w:sz w:val="24"/>
                <w:szCs w:val="24"/>
              </w:rPr>
              <w:t>'</w:t>
            </w:r>
            <w:r w:rsidRPr="00E45648">
              <w:rPr>
                <w:rFonts w:ascii="Times New Roman" w:eastAsia="Times New Roman" w:hAnsi="Times New Roman" w:cs="Times New Roman"/>
                <w:color w:val="000000"/>
                <w:sz w:val="24"/>
                <w:szCs w:val="24"/>
              </w:rPr>
              <w:t>s teaching based on disciplinary standards and institutional expectations.</w:t>
            </w:r>
          </w:p>
        </w:tc>
      </w:tr>
      <w:tr w:rsidR="00E45648" w:rsidRPr="00E45648" w14:paraId="1F1305FC" w14:textId="77777777" w:rsidTr="00E45648">
        <w:trPr>
          <w:trHeight w:val="2220"/>
        </w:trPr>
        <w:tc>
          <w:tcPr>
            <w:tcW w:w="2240" w:type="dxa"/>
            <w:hideMark/>
          </w:tcPr>
          <w:p w14:paraId="5DBE90B4" w14:textId="77777777" w:rsidR="00E45648" w:rsidRPr="00E45648" w:rsidRDefault="00E45648" w:rsidP="00E45648">
            <w:pPr>
              <w:spacing w:before="120" w:after="120"/>
              <w:rPr>
                <w:rFonts w:ascii="Times New Roman" w:eastAsia="Times New Roman" w:hAnsi="Times New Roman" w:cs="Times New Roman"/>
                <w:color w:val="000000"/>
                <w:sz w:val="24"/>
                <w:szCs w:val="24"/>
              </w:rPr>
            </w:pPr>
            <w:r w:rsidRPr="00E45648">
              <w:rPr>
                <w:rFonts w:ascii="Times New Roman" w:eastAsia="Times New Roman" w:hAnsi="Times New Roman" w:cs="Times New Roman"/>
                <w:color w:val="000000"/>
                <w:sz w:val="24"/>
                <w:szCs w:val="24"/>
              </w:rPr>
              <w:t>Professional Development</w:t>
            </w:r>
          </w:p>
        </w:tc>
        <w:tc>
          <w:tcPr>
            <w:tcW w:w="7100" w:type="dxa"/>
            <w:hideMark/>
          </w:tcPr>
          <w:p w14:paraId="72C2325D" w14:textId="77777777" w:rsidR="00E45648" w:rsidRPr="00E45648" w:rsidRDefault="00E45648" w:rsidP="00E45648">
            <w:pPr>
              <w:spacing w:before="120" w:after="120"/>
              <w:rPr>
                <w:rFonts w:ascii="Times New Roman" w:eastAsia="Times New Roman" w:hAnsi="Times New Roman" w:cs="Times New Roman"/>
                <w:color w:val="000000"/>
                <w:sz w:val="24"/>
                <w:szCs w:val="24"/>
              </w:rPr>
            </w:pPr>
            <w:bookmarkStart w:id="2" w:name="RANGE!B13"/>
            <w:r w:rsidRPr="00E45648">
              <w:rPr>
                <w:rFonts w:ascii="Times New Roman" w:eastAsia="Times New Roman" w:hAnsi="Times New Roman" w:cs="Times New Roman"/>
                <w:color w:val="000000"/>
                <w:sz w:val="24"/>
                <w:szCs w:val="24"/>
              </w:rPr>
              <w:t>The structured activities, programs, or initiatives undertaken by faculty to enhance their instructional effectiveness, pedagogical knowledge, and student engagement strategies. Examples include participation in workshops, teaching institutes, instructional coaching, course redesigns, or scholarly work on teaching and learning. Professional development may refer to evidence of teaching excellence (input) prior to an evaluation or recommendations provided for strengthening teaching excellence as part of feedback after an evaluation (outcome).</w:t>
            </w:r>
            <w:bookmarkEnd w:id="2"/>
          </w:p>
        </w:tc>
      </w:tr>
      <w:tr w:rsidR="00E45648" w:rsidRPr="00E45648" w14:paraId="34C9BF67" w14:textId="77777777" w:rsidTr="00E45648">
        <w:trPr>
          <w:trHeight w:val="645"/>
        </w:trPr>
        <w:tc>
          <w:tcPr>
            <w:tcW w:w="2240" w:type="dxa"/>
            <w:hideMark/>
          </w:tcPr>
          <w:p w14:paraId="37D9531D" w14:textId="77777777" w:rsidR="00E45648" w:rsidRPr="00E45648" w:rsidRDefault="00E45648" w:rsidP="00E45648">
            <w:pPr>
              <w:spacing w:before="120" w:after="120"/>
              <w:rPr>
                <w:rFonts w:ascii="Times New Roman" w:eastAsia="Times New Roman" w:hAnsi="Times New Roman" w:cs="Times New Roman"/>
                <w:color w:val="000000"/>
                <w:sz w:val="24"/>
                <w:szCs w:val="24"/>
              </w:rPr>
            </w:pPr>
            <w:r w:rsidRPr="00E45648">
              <w:rPr>
                <w:rFonts w:ascii="Times New Roman" w:eastAsia="Times New Roman" w:hAnsi="Times New Roman" w:cstheme="minorHAnsi"/>
                <w:color w:val="000000"/>
                <w:sz w:val="24"/>
                <w:szCs w:val="24"/>
              </w:rPr>
              <w:t>Review</w:t>
            </w:r>
          </w:p>
        </w:tc>
        <w:tc>
          <w:tcPr>
            <w:tcW w:w="7100" w:type="dxa"/>
            <w:hideMark/>
          </w:tcPr>
          <w:p w14:paraId="27564CB7" w14:textId="77777777" w:rsidR="00E45648" w:rsidRPr="00E45648" w:rsidRDefault="00E45648" w:rsidP="00E45648">
            <w:pPr>
              <w:spacing w:before="120" w:after="120"/>
              <w:rPr>
                <w:rFonts w:ascii="Times New Roman" w:eastAsia="Times New Roman" w:hAnsi="Times New Roman" w:cs="Times New Roman"/>
                <w:color w:val="000000"/>
                <w:sz w:val="24"/>
                <w:szCs w:val="24"/>
              </w:rPr>
            </w:pPr>
            <w:r w:rsidRPr="00E45648">
              <w:rPr>
                <w:rFonts w:ascii="Times New Roman" w:eastAsia="Times New Roman" w:hAnsi="Times New Roman" w:cstheme="minorHAnsi"/>
                <w:color w:val="000000"/>
                <w:sz w:val="24"/>
                <w:szCs w:val="24"/>
              </w:rPr>
              <w:t>A reflective examination of teaching practices or instructional materials, often conducted by peers to provide formative feedback or ensure alignment with academic expectations.</w:t>
            </w:r>
          </w:p>
        </w:tc>
      </w:tr>
      <w:tr w:rsidR="00E45648" w:rsidRPr="00E45648" w14:paraId="779AB8B6" w14:textId="77777777" w:rsidTr="00E45648">
        <w:trPr>
          <w:trHeight w:val="645"/>
        </w:trPr>
        <w:tc>
          <w:tcPr>
            <w:tcW w:w="2240" w:type="dxa"/>
            <w:hideMark/>
          </w:tcPr>
          <w:p w14:paraId="3AC0B1BA" w14:textId="77777777" w:rsidR="00E45648" w:rsidRPr="00E45648" w:rsidRDefault="00E45648" w:rsidP="00E45648">
            <w:pPr>
              <w:spacing w:before="120" w:after="120"/>
              <w:rPr>
                <w:rFonts w:ascii="Times New Roman" w:eastAsia="Times New Roman" w:hAnsi="Times New Roman" w:cs="Times New Roman"/>
                <w:color w:val="000000"/>
                <w:sz w:val="24"/>
                <w:szCs w:val="24"/>
              </w:rPr>
            </w:pPr>
            <w:bookmarkStart w:id="3" w:name="RANGE!A15"/>
            <w:r w:rsidRPr="00E45648">
              <w:rPr>
                <w:rFonts w:ascii="Times New Roman" w:eastAsia="Times New Roman" w:hAnsi="Times New Roman" w:cs="Times New Roman"/>
                <w:color w:val="000000"/>
                <w:sz w:val="24"/>
                <w:szCs w:val="24"/>
              </w:rPr>
              <w:t>Reviewer(s)</w:t>
            </w:r>
            <w:bookmarkEnd w:id="3"/>
          </w:p>
        </w:tc>
        <w:tc>
          <w:tcPr>
            <w:tcW w:w="7100" w:type="dxa"/>
            <w:hideMark/>
          </w:tcPr>
          <w:p w14:paraId="0D6F0836" w14:textId="77777777" w:rsidR="00E45648" w:rsidRPr="00E45648" w:rsidRDefault="00E45648" w:rsidP="00E45648">
            <w:pPr>
              <w:spacing w:before="120" w:after="120"/>
              <w:rPr>
                <w:rFonts w:ascii="Times New Roman" w:eastAsia="Times New Roman" w:hAnsi="Times New Roman" w:cs="Times New Roman"/>
                <w:color w:val="000000"/>
                <w:sz w:val="24"/>
                <w:szCs w:val="24"/>
              </w:rPr>
            </w:pPr>
            <w:r w:rsidRPr="00E45648">
              <w:rPr>
                <w:rFonts w:ascii="Times New Roman" w:eastAsia="Times New Roman" w:hAnsi="Times New Roman" w:cs="Times New Roman"/>
                <w:color w:val="000000"/>
                <w:sz w:val="24"/>
                <w:szCs w:val="24"/>
              </w:rPr>
              <w:t>Individual(s) – peer, expert, or student – responsible for providing a reflective examination of teaching practices or instructional materials designed to provide formative feedback.</w:t>
            </w:r>
          </w:p>
        </w:tc>
      </w:tr>
      <w:tr w:rsidR="00E45648" w:rsidRPr="00E45648" w14:paraId="3C43DA26" w14:textId="77777777" w:rsidTr="00E45648">
        <w:trPr>
          <w:trHeight w:val="960"/>
        </w:trPr>
        <w:tc>
          <w:tcPr>
            <w:tcW w:w="2240" w:type="dxa"/>
            <w:hideMark/>
          </w:tcPr>
          <w:p w14:paraId="05AD07B2" w14:textId="77777777" w:rsidR="00E45648" w:rsidRPr="00E45648" w:rsidRDefault="00E45648" w:rsidP="00E45648">
            <w:pPr>
              <w:spacing w:before="120" w:after="120"/>
              <w:rPr>
                <w:rFonts w:ascii="Times New Roman" w:eastAsia="Times New Roman" w:hAnsi="Times New Roman" w:cs="Times New Roman"/>
                <w:color w:val="000000"/>
                <w:sz w:val="24"/>
                <w:szCs w:val="24"/>
              </w:rPr>
            </w:pPr>
            <w:r w:rsidRPr="00E45648">
              <w:rPr>
                <w:rFonts w:ascii="Times New Roman" w:eastAsia="Times New Roman" w:hAnsi="Times New Roman" w:cs="Times New Roman"/>
                <w:color w:val="000000"/>
                <w:sz w:val="24"/>
                <w:szCs w:val="24"/>
              </w:rPr>
              <w:t>Student(s)</w:t>
            </w:r>
          </w:p>
        </w:tc>
        <w:tc>
          <w:tcPr>
            <w:tcW w:w="7100" w:type="dxa"/>
            <w:hideMark/>
          </w:tcPr>
          <w:p w14:paraId="5A0CE897" w14:textId="6F542716" w:rsidR="00E45648" w:rsidRPr="00E45648" w:rsidRDefault="00E45648" w:rsidP="00E45648">
            <w:pPr>
              <w:spacing w:before="120" w:after="120"/>
              <w:rPr>
                <w:rFonts w:ascii="Times New Roman" w:eastAsia="Times New Roman" w:hAnsi="Times New Roman" w:cs="Times New Roman"/>
                <w:color w:val="000000"/>
                <w:sz w:val="24"/>
                <w:szCs w:val="24"/>
              </w:rPr>
            </w:pPr>
            <w:r w:rsidRPr="00E45648">
              <w:rPr>
                <w:rFonts w:ascii="Times New Roman" w:eastAsia="Times New Roman" w:hAnsi="Times New Roman" w:cs="Times New Roman"/>
                <w:color w:val="000000"/>
                <w:sz w:val="24"/>
                <w:szCs w:val="24"/>
              </w:rPr>
              <w:t>Learners typically enrolled in a faculty member</w:t>
            </w:r>
            <w:r w:rsidR="00543774">
              <w:rPr>
                <w:rFonts w:ascii="Times New Roman" w:eastAsia="Times New Roman" w:hAnsi="Times New Roman" w:cs="Times New Roman"/>
                <w:color w:val="000000"/>
                <w:sz w:val="24"/>
                <w:szCs w:val="24"/>
              </w:rPr>
              <w:t>'</w:t>
            </w:r>
            <w:r w:rsidRPr="00E45648">
              <w:rPr>
                <w:rFonts w:ascii="Times New Roman" w:eastAsia="Times New Roman" w:hAnsi="Times New Roman" w:cs="Times New Roman"/>
                <w:color w:val="000000"/>
                <w:sz w:val="24"/>
                <w:szCs w:val="24"/>
              </w:rPr>
              <w:t>s course or similar courses whose perceptions of teaching effectiveness are gathered through course evaluations or feedback instruments as one component of the overall evaluation of teaching.</w:t>
            </w:r>
          </w:p>
        </w:tc>
      </w:tr>
      <w:tr w:rsidR="00E45648" w:rsidRPr="00E45648" w14:paraId="4C9F288B" w14:textId="77777777" w:rsidTr="00E45648">
        <w:trPr>
          <w:trHeight w:val="960"/>
        </w:trPr>
        <w:tc>
          <w:tcPr>
            <w:tcW w:w="2240" w:type="dxa"/>
            <w:hideMark/>
          </w:tcPr>
          <w:p w14:paraId="1214AFDC" w14:textId="77777777" w:rsidR="00E45648" w:rsidRPr="00E45648" w:rsidRDefault="00E45648" w:rsidP="00E45648">
            <w:pPr>
              <w:spacing w:before="120" w:after="120"/>
              <w:rPr>
                <w:rFonts w:ascii="Times New Roman" w:eastAsia="Times New Roman" w:hAnsi="Times New Roman" w:cs="Times New Roman"/>
                <w:color w:val="000000"/>
                <w:sz w:val="24"/>
                <w:szCs w:val="24"/>
              </w:rPr>
            </w:pPr>
            <w:r w:rsidRPr="00E45648">
              <w:rPr>
                <w:rFonts w:ascii="Times New Roman" w:eastAsia="Times New Roman" w:hAnsi="Times New Roman" w:cstheme="minorHAnsi"/>
                <w:color w:val="000000"/>
                <w:sz w:val="24"/>
                <w:szCs w:val="24"/>
              </w:rPr>
              <w:t>Summative Evaluation</w:t>
            </w:r>
          </w:p>
        </w:tc>
        <w:tc>
          <w:tcPr>
            <w:tcW w:w="7100" w:type="dxa"/>
            <w:hideMark/>
          </w:tcPr>
          <w:p w14:paraId="3EAB4C69" w14:textId="7D7ED269" w:rsidR="00E45648" w:rsidRPr="00E45648" w:rsidRDefault="00E45648" w:rsidP="00E45648">
            <w:pPr>
              <w:spacing w:before="120" w:after="120"/>
              <w:rPr>
                <w:rFonts w:ascii="Times New Roman" w:eastAsia="Times New Roman" w:hAnsi="Times New Roman" w:cs="Times New Roman"/>
                <w:color w:val="000000"/>
                <w:sz w:val="24"/>
                <w:szCs w:val="24"/>
              </w:rPr>
            </w:pPr>
            <w:r w:rsidRPr="00E45648">
              <w:rPr>
                <w:rFonts w:ascii="Times New Roman" w:eastAsia="Times New Roman" w:hAnsi="Times New Roman" w:cstheme="minorHAnsi"/>
                <w:color w:val="000000"/>
                <w:sz w:val="24"/>
                <w:szCs w:val="24"/>
              </w:rPr>
              <w:t>A formal and comprehensive judgment of a faculty member</w:t>
            </w:r>
            <w:r w:rsidR="00543774">
              <w:rPr>
                <w:rFonts w:ascii="Times New Roman" w:eastAsia="Times New Roman" w:hAnsi="Times New Roman" w:cstheme="minorHAnsi"/>
                <w:color w:val="000000"/>
                <w:sz w:val="24"/>
                <w:szCs w:val="24"/>
              </w:rPr>
              <w:t>'</w:t>
            </w:r>
            <w:r w:rsidRPr="00E45648">
              <w:rPr>
                <w:rFonts w:ascii="Times New Roman" w:eastAsia="Times New Roman" w:hAnsi="Times New Roman" w:cstheme="minorHAnsi"/>
                <w:color w:val="000000"/>
                <w:sz w:val="24"/>
                <w:szCs w:val="24"/>
              </w:rPr>
              <w:t>s teaching, typically conducted at the conclusion of an evaluation period and used for high-stakes decisions, such as promotion, tenure, or contract renewal.</w:t>
            </w:r>
          </w:p>
        </w:tc>
      </w:tr>
      <w:tr w:rsidR="00E45648" w:rsidRPr="00E45648" w14:paraId="177A9BFA" w14:textId="77777777" w:rsidTr="00E45648">
        <w:trPr>
          <w:trHeight w:val="1275"/>
        </w:trPr>
        <w:tc>
          <w:tcPr>
            <w:tcW w:w="2240" w:type="dxa"/>
            <w:hideMark/>
          </w:tcPr>
          <w:p w14:paraId="10E33284" w14:textId="77777777" w:rsidR="00E45648" w:rsidRPr="00E45648" w:rsidRDefault="00E45648" w:rsidP="00E45648">
            <w:pPr>
              <w:spacing w:before="120" w:after="120"/>
              <w:rPr>
                <w:rFonts w:ascii="Times New Roman" w:eastAsia="Times New Roman" w:hAnsi="Times New Roman" w:cs="Times New Roman"/>
                <w:color w:val="000000"/>
                <w:sz w:val="24"/>
                <w:szCs w:val="24"/>
              </w:rPr>
            </w:pPr>
            <w:r w:rsidRPr="00E45648">
              <w:rPr>
                <w:rFonts w:ascii="Times New Roman" w:eastAsia="Times New Roman" w:hAnsi="Times New Roman" w:cstheme="minorHAnsi"/>
                <w:color w:val="000000"/>
                <w:sz w:val="24"/>
                <w:szCs w:val="24"/>
              </w:rPr>
              <w:t>Teaching Observation</w:t>
            </w:r>
          </w:p>
        </w:tc>
        <w:tc>
          <w:tcPr>
            <w:tcW w:w="7100" w:type="dxa"/>
            <w:hideMark/>
          </w:tcPr>
          <w:p w14:paraId="7715B982" w14:textId="77777777" w:rsidR="00E45648" w:rsidRPr="00E45648" w:rsidRDefault="00E45648" w:rsidP="00E45648">
            <w:pPr>
              <w:spacing w:before="120" w:after="120"/>
              <w:rPr>
                <w:rFonts w:ascii="Times New Roman" w:eastAsia="Times New Roman" w:hAnsi="Times New Roman" w:cs="Times New Roman"/>
                <w:color w:val="000000"/>
                <w:sz w:val="24"/>
                <w:szCs w:val="24"/>
              </w:rPr>
            </w:pPr>
            <w:r w:rsidRPr="00E45648">
              <w:rPr>
                <w:rFonts w:ascii="Times New Roman" w:eastAsia="Times New Roman" w:hAnsi="Times New Roman" w:cstheme="minorHAnsi"/>
                <w:color w:val="000000"/>
                <w:sz w:val="24"/>
                <w:szCs w:val="24"/>
              </w:rPr>
              <w:t>A structured process in which an individual, such as a peer, supervisor, expert, or student not enrolled in the course, watches a faculty member's instructional session (in person or online; live or recorded) to gather evidence about teaching practices, classroom engagement, content delivery, and learning environment.</w:t>
            </w:r>
          </w:p>
        </w:tc>
      </w:tr>
    </w:tbl>
    <w:p w14:paraId="04C8D580" w14:textId="74C0C76A" w:rsidR="00F64931" w:rsidRPr="00F32BD6" w:rsidRDefault="003E7405" w:rsidP="00D5187A">
      <w:pPr>
        <w:pStyle w:val="Heading2"/>
        <w:spacing w:line="240" w:lineRule="auto"/>
      </w:pPr>
      <w:r w:rsidRPr="00F32BD6">
        <w:lastRenderedPageBreak/>
        <w:t>Purpose</w:t>
      </w:r>
    </w:p>
    <w:p w14:paraId="2DDA7F7F" w14:textId="77777777" w:rsidR="00D5187A" w:rsidRDefault="00D5187A" w:rsidP="00D5187A">
      <w:pPr>
        <w:spacing w:after="0" w:line="240" w:lineRule="auto"/>
        <w:contextualSpacing/>
      </w:pPr>
    </w:p>
    <w:p w14:paraId="27B35017" w14:textId="554E09CA" w:rsidR="00F64931" w:rsidRPr="007F3230" w:rsidRDefault="003E7405" w:rsidP="00D5187A">
      <w:pPr>
        <w:spacing w:after="0" w:line="240" w:lineRule="auto"/>
        <w:contextualSpacing/>
        <w:rPr>
          <w:sz w:val="24"/>
          <w:szCs w:val="24"/>
        </w:rPr>
      </w:pPr>
      <w:r w:rsidRPr="007F3230">
        <w:rPr>
          <w:sz w:val="24"/>
          <w:szCs w:val="24"/>
        </w:rPr>
        <w:t xml:space="preserve">These guidelines establish a written system of </w:t>
      </w:r>
      <w:r w:rsidR="008200EE" w:rsidRPr="007F3230">
        <w:rPr>
          <w:sz w:val="24"/>
          <w:szCs w:val="24"/>
        </w:rPr>
        <w:t>peer evaluations</w:t>
      </w:r>
      <w:r w:rsidRPr="007F3230">
        <w:rPr>
          <w:sz w:val="24"/>
          <w:szCs w:val="24"/>
        </w:rPr>
        <w:t xml:space="preserve"> for faculty at Ohio University in compliance with Ohio Revised Code §3345.45</w:t>
      </w:r>
      <w:r w:rsidR="00875BEA" w:rsidRPr="007F3230">
        <w:rPr>
          <w:sz w:val="24"/>
          <w:szCs w:val="24"/>
        </w:rPr>
        <w:t>1</w:t>
      </w:r>
      <w:r w:rsidRPr="007F3230">
        <w:rPr>
          <w:sz w:val="24"/>
          <w:szCs w:val="24"/>
        </w:rPr>
        <w:t>, which requires institutions to emphasize faculty professional development in relation to teaching responsibilities. The system supports a campus-wide culture of instructional excellence through structured, constructive, and transparent peer review.</w:t>
      </w:r>
    </w:p>
    <w:p w14:paraId="785BF84A" w14:textId="77777777" w:rsidR="00B9081A" w:rsidRPr="007F3230" w:rsidRDefault="00B9081A" w:rsidP="00D5187A">
      <w:pPr>
        <w:spacing w:after="0" w:line="240" w:lineRule="auto"/>
        <w:contextualSpacing/>
        <w:rPr>
          <w:sz w:val="24"/>
          <w:szCs w:val="24"/>
        </w:rPr>
      </w:pPr>
    </w:p>
    <w:p w14:paraId="75CFE1FE" w14:textId="5E9889B7" w:rsidR="00B9081A" w:rsidRPr="007F3230" w:rsidRDefault="00B9081A" w:rsidP="00D5187A">
      <w:pPr>
        <w:spacing w:after="0" w:line="240" w:lineRule="auto"/>
        <w:contextualSpacing/>
        <w:rPr>
          <w:sz w:val="24"/>
          <w:szCs w:val="24"/>
        </w:rPr>
      </w:pPr>
      <w:r w:rsidRPr="007F3230">
        <w:rPr>
          <w:sz w:val="24"/>
          <w:szCs w:val="24"/>
        </w:rPr>
        <w:t>Broadly, peer evaluations of teaching (PETs) are typically structured as formative evaluations for the purpose of recommending areas for professional development in teaching. However, departments/schools or colleges may use PETs as a component of summative evaluation, if appropriate.</w:t>
      </w:r>
    </w:p>
    <w:p w14:paraId="25144BDD" w14:textId="5144D86D" w:rsidR="00F64931" w:rsidRPr="00F32BD6" w:rsidRDefault="003E7405" w:rsidP="00D5187A">
      <w:pPr>
        <w:pStyle w:val="Heading2"/>
        <w:spacing w:line="240" w:lineRule="auto"/>
      </w:pPr>
      <w:r w:rsidRPr="00F32BD6">
        <w:t>Scope</w:t>
      </w:r>
    </w:p>
    <w:p w14:paraId="41F0E2D4" w14:textId="77777777" w:rsidR="00D5187A" w:rsidRDefault="00D5187A" w:rsidP="00D5187A">
      <w:pPr>
        <w:spacing w:after="0" w:line="240" w:lineRule="auto"/>
        <w:contextualSpacing/>
      </w:pPr>
    </w:p>
    <w:p w14:paraId="0FCC8E3B" w14:textId="77777777" w:rsidR="00034CFD" w:rsidRPr="00034CFD" w:rsidRDefault="003E7405" w:rsidP="00034CFD">
      <w:pPr>
        <w:rPr>
          <w:sz w:val="32"/>
          <w:szCs w:val="32"/>
        </w:rPr>
      </w:pPr>
      <w:r w:rsidRPr="00034CFD">
        <w:rPr>
          <w:sz w:val="24"/>
          <w:szCs w:val="24"/>
        </w:rPr>
        <w:t>These guidelines apply to all full-time faculty at Ohio University across all campuses, colleges, and instructional modalities.</w:t>
      </w:r>
      <w:r w:rsidR="00155AF5" w:rsidRPr="00034CFD">
        <w:rPr>
          <w:sz w:val="24"/>
          <w:szCs w:val="24"/>
        </w:rPr>
        <w:t xml:space="preserve"> </w:t>
      </w:r>
    </w:p>
    <w:p w14:paraId="5639ADF7" w14:textId="5B380960" w:rsidR="00F64931" w:rsidRPr="00F32BD6" w:rsidRDefault="003E7405" w:rsidP="00D5187A">
      <w:pPr>
        <w:pStyle w:val="Heading2"/>
        <w:spacing w:line="240" w:lineRule="auto"/>
      </w:pPr>
      <w:r w:rsidRPr="00F32BD6">
        <w:t xml:space="preserve">Benefits of </w:t>
      </w:r>
      <w:r w:rsidR="008200EE">
        <w:t xml:space="preserve">Peer </w:t>
      </w:r>
      <w:r w:rsidR="00B9081A">
        <w:t>Evaluation</w:t>
      </w:r>
      <w:r w:rsidRPr="00F32BD6">
        <w:t xml:space="preserve"> of Teaching</w:t>
      </w:r>
    </w:p>
    <w:p w14:paraId="56454A8C" w14:textId="77777777" w:rsidR="00D5187A" w:rsidRDefault="00D5187A" w:rsidP="00D5187A">
      <w:pPr>
        <w:spacing w:after="0" w:line="240" w:lineRule="auto"/>
        <w:contextualSpacing/>
      </w:pPr>
    </w:p>
    <w:p w14:paraId="7DD3CC5F" w14:textId="513AC285" w:rsidR="00F64931" w:rsidRPr="007F3230" w:rsidRDefault="008200EE" w:rsidP="00D5187A">
      <w:pPr>
        <w:spacing w:after="0" w:line="240" w:lineRule="auto"/>
        <w:contextualSpacing/>
        <w:rPr>
          <w:sz w:val="24"/>
          <w:szCs w:val="24"/>
        </w:rPr>
      </w:pPr>
      <w:r w:rsidRPr="007F3230">
        <w:rPr>
          <w:sz w:val="24"/>
          <w:szCs w:val="24"/>
        </w:rPr>
        <w:t xml:space="preserve">Peer </w:t>
      </w:r>
      <w:r w:rsidR="00B9081A" w:rsidRPr="007F3230">
        <w:rPr>
          <w:sz w:val="24"/>
          <w:szCs w:val="24"/>
        </w:rPr>
        <w:t>evaluation</w:t>
      </w:r>
      <w:r w:rsidRPr="007F3230">
        <w:rPr>
          <w:sz w:val="24"/>
          <w:szCs w:val="24"/>
        </w:rPr>
        <w:t xml:space="preserve"> of teaching (</w:t>
      </w:r>
      <w:r w:rsidR="00F70601" w:rsidRPr="007F3230">
        <w:rPr>
          <w:sz w:val="24"/>
          <w:szCs w:val="24"/>
        </w:rPr>
        <w:t>PET</w:t>
      </w:r>
      <w:r w:rsidRPr="007F3230">
        <w:rPr>
          <w:sz w:val="24"/>
          <w:szCs w:val="24"/>
        </w:rPr>
        <w:t xml:space="preserve">) </w:t>
      </w:r>
      <w:r w:rsidR="00B9081A" w:rsidRPr="007F3230">
        <w:rPr>
          <w:sz w:val="24"/>
          <w:szCs w:val="24"/>
        </w:rPr>
        <w:t xml:space="preserve">can </w:t>
      </w:r>
      <w:r w:rsidRPr="007F3230">
        <w:rPr>
          <w:sz w:val="24"/>
          <w:szCs w:val="24"/>
        </w:rPr>
        <w:t>offer s</w:t>
      </w:r>
      <w:r w:rsidR="00B9081A" w:rsidRPr="007F3230">
        <w:rPr>
          <w:sz w:val="24"/>
          <w:szCs w:val="24"/>
        </w:rPr>
        <w:t>everal</w:t>
      </w:r>
      <w:r w:rsidRPr="007F3230">
        <w:rPr>
          <w:sz w:val="24"/>
          <w:szCs w:val="24"/>
        </w:rPr>
        <w:t xml:space="preserve"> benefits to faculty members, academic units</w:t>
      </w:r>
      <w:r w:rsidR="008206C4" w:rsidRPr="007F3230">
        <w:rPr>
          <w:sz w:val="24"/>
          <w:szCs w:val="24"/>
        </w:rPr>
        <w:t xml:space="preserve"> (departments/schools and colleges)</w:t>
      </w:r>
      <w:r w:rsidRPr="007F3230">
        <w:rPr>
          <w:sz w:val="24"/>
          <w:szCs w:val="24"/>
        </w:rPr>
        <w:t>, and the university</w:t>
      </w:r>
      <w:r w:rsidR="00B9081A" w:rsidRPr="007F3230">
        <w:rPr>
          <w:sz w:val="24"/>
          <w:szCs w:val="24"/>
        </w:rPr>
        <w:t>, including (but not limited to):</w:t>
      </w:r>
    </w:p>
    <w:p w14:paraId="10455CDD" w14:textId="77777777" w:rsidR="00036614" w:rsidRPr="007F3230" w:rsidRDefault="00036614" w:rsidP="00D5187A">
      <w:pPr>
        <w:spacing w:after="0" w:line="240" w:lineRule="auto"/>
        <w:contextualSpacing/>
        <w:rPr>
          <w:sz w:val="24"/>
          <w:szCs w:val="24"/>
        </w:rPr>
      </w:pPr>
    </w:p>
    <w:p w14:paraId="41544B14" w14:textId="25B05F15" w:rsidR="00F64931" w:rsidRPr="007F3230" w:rsidRDefault="003E7405" w:rsidP="00D5187A">
      <w:pPr>
        <w:pStyle w:val="ListBullet"/>
        <w:numPr>
          <w:ilvl w:val="0"/>
          <w:numId w:val="0"/>
        </w:numPr>
        <w:spacing w:after="0" w:line="240" w:lineRule="auto"/>
        <w:ind w:left="360" w:hanging="360"/>
        <w:rPr>
          <w:sz w:val="24"/>
          <w:szCs w:val="24"/>
        </w:rPr>
      </w:pPr>
      <w:r w:rsidRPr="007F3230">
        <w:rPr>
          <w:sz w:val="24"/>
          <w:szCs w:val="24"/>
        </w:rPr>
        <w:t xml:space="preserve">For </w:t>
      </w:r>
      <w:r w:rsidR="00B9081A" w:rsidRPr="007F3230">
        <w:rPr>
          <w:sz w:val="24"/>
          <w:szCs w:val="24"/>
        </w:rPr>
        <w:t>Faculty</w:t>
      </w:r>
      <w:r w:rsidR="008206C4" w:rsidRPr="007F3230">
        <w:rPr>
          <w:sz w:val="24"/>
          <w:szCs w:val="24"/>
        </w:rPr>
        <w:t>:</w:t>
      </w:r>
    </w:p>
    <w:p w14:paraId="59D10DC3" w14:textId="5FE33F21" w:rsidR="00F64931" w:rsidRPr="007F3230" w:rsidRDefault="003E7405" w:rsidP="00D5187A">
      <w:pPr>
        <w:pStyle w:val="ListBullet2"/>
        <w:spacing w:after="0" w:line="240" w:lineRule="auto"/>
        <w:rPr>
          <w:sz w:val="24"/>
          <w:szCs w:val="24"/>
        </w:rPr>
      </w:pPr>
      <w:r w:rsidRPr="007F3230">
        <w:rPr>
          <w:sz w:val="24"/>
          <w:szCs w:val="24"/>
        </w:rPr>
        <w:t>Facilitates reflection, growth, and innovation in teaching practices</w:t>
      </w:r>
      <w:r w:rsidR="00B9081A" w:rsidRPr="007F3230">
        <w:rPr>
          <w:sz w:val="24"/>
          <w:szCs w:val="24"/>
        </w:rPr>
        <w:t>.</w:t>
      </w:r>
    </w:p>
    <w:p w14:paraId="4409E754" w14:textId="2BF9C54F" w:rsidR="00F64931" w:rsidRPr="007F3230" w:rsidRDefault="003E7405" w:rsidP="00D5187A">
      <w:pPr>
        <w:pStyle w:val="ListBullet2"/>
        <w:spacing w:after="0" w:line="240" w:lineRule="auto"/>
        <w:rPr>
          <w:sz w:val="24"/>
          <w:szCs w:val="24"/>
        </w:rPr>
      </w:pPr>
      <w:r w:rsidRPr="007F3230">
        <w:rPr>
          <w:sz w:val="24"/>
          <w:szCs w:val="24"/>
        </w:rPr>
        <w:t>Provides tailored, discipline-specific feedback</w:t>
      </w:r>
      <w:r w:rsidR="00B9081A" w:rsidRPr="007F3230">
        <w:rPr>
          <w:sz w:val="24"/>
          <w:szCs w:val="24"/>
        </w:rPr>
        <w:t>.</w:t>
      </w:r>
    </w:p>
    <w:p w14:paraId="4AFC5429" w14:textId="721DF90D" w:rsidR="00F64931" w:rsidRPr="007F3230" w:rsidRDefault="003E7405" w:rsidP="00D5187A">
      <w:pPr>
        <w:pStyle w:val="ListBullet2"/>
        <w:spacing w:after="0" w:line="240" w:lineRule="auto"/>
        <w:rPr>
          <w:sz w:val="24"/>
          <w:szCs w:val="24"/>
        </w:rPr>
      </w:pPr>
      <w:r w:rsidRPr="007F3230">
        <w:rPr>
          <w:sz w:val="24"/>
          <w:szCs w:val="24"/>
        </w:rPr>
        <w:t xml:space="preserve">Supplies </w:t>
      </w:r>
      <w:r w:rsidR="008206C4" w:rsidRPr="007F3230">
        <w:rPr>
          <w:sz w:val="24"/>
          <w:szCs w:val="24"/>
        </w:rPr>
        <w:t xml:space="preserve">structured </w:t>
      </w:r>
      <w:r w:rsidRPr="007F3230">
        <w:rPr>
          <w:sz w:val="24"/>
          <w:szCs w:val="24"/>
        </w:rPr>
        <w:t>evidence for teaching portfolios, promotion, or review</w:t>
      </w:r>
      <w:r w:rsidR="00B9081A" w:rsidRPr="007F3230">
        <w:rPr>
          <w:sz w:val="24"/>
          <w:szCs w:val="24"/>
        </w:rPr>
        <w:t>.</w:t>
      </w:r>
    </w:p>
    <w:p w14:paraId="629550A6" w14:textId="77777777" w:rsidR="00036614" w:rsidRPr="007F3230" w:rsidRDefault="00036614" w:rsidP="00D5187A">
      <w:pPr>
        <w:pStyle w:val="ListBullet"/>
        <w:numPr>
          <w:ilvl w:val="0"/>
          <w:numId w:val="0"/>
        </w:numPr>
        <w:spacing w:after="0" w:line="240" w:lineRule="auto"/>
        <w:ind w:left="360" w:hanging="360"/>
        <w:rPr>
          <w:sz w:val="24"/>
          <w:szCs w:val="24"/>
        </w:rPr>
      </w:pPr>
    </w:p>
    <w:p w14:paraId="4D359025" w14:textId="1E00961A" w:rsidR="00F64931" w:rsidRPr="007F3230" w:rsidRDefault="003E7405" w:rsidP="00D5187A">
      <w:pPr>
        <w:pStyle w:val="ListBullet"/>
        <w:numPr>
          <w:ilvl w:val="0"/>
          <w:numId w:val="0"/>
        </w:numPr>
        <w:spacing w:after="0" w:line="240" w:lineRule="auto"/>
        <w:ind w:left="360" w:hanging="360"/>
        <w:rPr>
          <w:sz w:val="24"/>
          <w:szCs w:val="24"/>
        </w:rPr>
      </w:pPr>
      <w:r w:rsidRPr="007F3230">
        <w:rPr>
          <w:sz w:val="24"/>
          <w:szCs w:val="24"/>
        </w:rPr>
        <w:t xml:space="preserve">For </w:t>
      </w:r>
      <w:r w:rsidR="008206C4" w:rsidRPr="007F3230">
        <w:rPr>
          <w:sz w:val="24"/>
          <w:szCs w:val="24"/>
        </w:rPr>
        <w:t>Academic Units:</w:t>
      </w:r>
    </w:p>
    <w:p w14:paraId="1AE7C0D2" w14:textId="125B106B" w:rsidR="00F64931" w:rsidRPr="007F3230" w:rsidRDefault="003E7405" w:rsidP="00D5187A">
      <w:pPr>
        <w:pStyle w:val="ListBullet2"/>
        <w:spacing w:after="0" w:line="240" w:lineRule="auto"/>
        <w:rPr>
          <w:sz w:val="24"/>
          <w:szCs w:val="24"/>
        </w:rPr>
      </w:pPr>
      <w:r w:rsidRPr="007F3230">
        <w:rPr>
          <w:sz w:val="24"/>
          <w:szCs w:val="24"/>
        </w:rPr>
        <w:t>Promotes shared standards and expectations for instructional quality</w:t>
      </w:r>
      <w:r w:rsidR="008206C4" w:rsidRPr="007F3230">
        <w:rPr>
          <w:sz w:val="24"/>
          <w:szCs w:val="24"/>
        </w:rPr>
        <w:t>.</w:t>
      </w:r>
    </w:p>
    <w:p w14:paraId="47DD08E9" w14:textId="4A919EC7" w:rsidR="00F64931" w:rsidRPr="007F3230" w:rsidRDefault="003E7405" w:rsidP="00D5187A">
      <w:pPr>
        <w:pStyle w:val="ListBullet2"/>
        <w:spacing w:after="0" w:line="240" w:lineRule="auto"/>
        <w:rPr>
          <w:sz w:val="24"/>
          <w:szCs w:val="24"/>
        </w:rPr>
      </w:pPr>
      <w:r w:rsidRPr="007F3230">
        <w:rPr>
          <w:sz w:val="24"/>
          <w:szCs w:val="24"/>
        </w:rPr>
        <w:t>Enhances collaboration, mentoring, and academic leadership</w:t>
      </w:r>
      <w:r w:rsidR="008206C4" w:rsidRPr="007F3230">
        <w:rPr>
          <w:sz w:val="24"/>
          <w:szCs w:val="24"/>
        </w:rPr>
        <w:t>.</w:t>
      </w:r>
    </w:p>
    <w:p w14:paraId="05ABBD92" w14:textId="4F852430" w:rsidR="00F64931" w:rsidRPr="007F3230" w:rsidRDefault="003E7405" w:rsidP="00D5187A">
      <w:pPr>
        <w:pStyle w:val="ListBullet2"/>
        <w:spacing w:after="0" w:line="240" w:lineRule="auto"/>
        <w:rPr>
          <w:sz w:val="24"/>
          <w:szCs w:val="24"/>
        </w:rPr>
      </w:pPr>
      <w:r w:rsidRPr="007F3230">
        <w:rPr>
          <w:sz w:val="24"/>
          <w:szCs w:val="24"/>
        </w:rPr>
        <w:t>Supports program-level curriculum planning and assessment</w:t>
      </w:r>
      <w:r w:rsidR="008206C4" w:rsidRPr="007F3230">
        <w:rPr>
          <w:sz w:val="24"/>
          <w:szCs w:val="24"/>
        </w:rPr>
        <w:t>.</w:t>
      </w:r>
    </w:p>
    <w:p w14:paraId="656C7693" w14:textId="77777777" w:rsidR="00036614" w:rsidRPr="007F3230" w:rsidRDefault="00036614" w:rsidP="00D5187A">
      <w:pPr>
        <w:pStyle w:val="ListBullet"/>
        <w:numPr>
          <w:ilvl w:val="0"/>
          <w:numId w:val="0"/>
        </w:numPr>
        <w:spacing w:after="0" w:line="240" w:lineRule="auto"/>
        <w:ind w:left="360" w:hanging="360"/>
        <w:rPr>
          <w:sz w:val="24"/>
          <w:szCs w:val="24"/>
        </w:rPr>
      </w:pPr>
    </w:p>
    <w:p w14:paraId="2894453C" w14:textId="1543CF18" w:rsidR="00F64931" w:rsidRPr="007F3230" w:rsidRDefault="003E7405" w:rsidP="00D5187A">
      <w:pPr>
        <w:pStyle w:val="ListBullet"/>
        <w:numPr>
          <w:ilvl w:val="0"/>
          <w:numId w:val="0"/>
        </w:numPr>
        <w:spacing w:after="0" w:line="240" w:lineRule="auto"/>
        <w:ind w:left="360" w:hanging="360"/>
        <w:rPr>
          <w:sz w:val="24"/>
          <w:szCs w:val="24"/>
        </w:rPr>
      </w:pPr>
      <w:r w:rsidRPr="007F3230">
        <w:rPr>
          <w:sz w:val="24"/>
          <w:szCs w:val="24"/>
        </w:rPr>
        <w:t>For the University:</w:t>
      </w:r>
    </w:p>
    <w:p w14:paraId="5B30D54E" w14:textId="0C9CDDB6" w:rsidR="00F64931" w:rsidRPr="007F3230" w:rsidRDefault="003E7405" w:rsidP="00D5187A">
      <w:pPr>
        <w:pStyle w:val="ListBullet2"/>
        <w:spacing w:after="0" w:line="240" w:lineRule="auto"/>
        <w:rPr>
          <w:sz w:val="24"/>
          <w:szCs w:val="24"/>
        </w:rPr>
      </w:pPr>
      <w:r w:rsidRPr="007F3230">
        <w:rPr>
          <w:sz w:val="24"/>
          <w:szCs w:val="24"/>
        </w:rPr>
        <w:t>Reinforces the institution</w:t>
      </w:r>
      <w:r w:rsidR="00543774">
        <w:rPr>
          <w:sz w:val="24"/>
          <w:szCs w:val="24"/>
        </w:rPr>
        <w:t>'</w:t>
      </w:r>
      <w:r w:rsidRPr="007F3230">
        <w:rPr>
          <w:sz w:val="24"/>
          <w:szCs w:val="24"/>
        </w:rPr>
        <w:t>s commitment to excellence in teaching</w:t>
      </w:r>
      <w:r w:rsidR="008206C4" w:rsidRPr="007F3230">
        <w:rPr>
          <w:sz w:val="24"/>
          <w:szCs w:val="24"/>
        </w:rPr>
        <w:t>.</w:t>
      </w:r>
    </w:p>
    <w:p w14:paraId="7B73E840" w14:textId="27219548" w:rsidR="00F64931" w:rsidRPr="007F3230" w:rsidRDefault="003E7405" w:rsidP="00D5187A">
      <w:pPr>
        <w:pStyle w:val="ListBullet2"/>
        <w:spacing w:after="0" w:line="240" w:lineRule="auto"/>
        <w:rPr>
          <w:sz w:val="24"/>
          <w:szCs w:val="24"/>
        </w:rPr>
      </w:pPr>
      <w:r w:rsidRPr="007F3230">
        <w:rPr>
          <w:sz w:val="24"/>
          <w:szCs w:val="24"/>
        </w:rPr>
        <w:t>Enhances student learning and educational outcomes</w:t>
      </w:r>
      <w:r w:rsidR="008206C4" w:rsidRPr="007F3230">
        <w:rPr>
          <w:sz w:val="24"/>
          <w:szCs w:val="24"/>
        </w:rPr>
        <w:t>.</w:t>
      </w:r>
    </w:p>
    <w:p w14:paraId="28A1D411" w14:textId="4E68A41B" w:rsidR="00F64931" w:rsidRPr="007F3230" w:rsidRDefault="003E7405" w:rsidP="00D5187A">
      <w:pPr>
        <w:pStyle w:val="ListBullet2"/>
        <w:spacing w:after="0" w:line="240" w:lineRule="auto"/>
        <w:rPr>
          <w:sz w:val="24"/>
          <w:szCs w:val="24"/>
        </w:rPr>
      </w:pPr>
      <w:r w:rsidRPr="007F3230">
        <w:rPr>
          <w:sz w:val="24"/>
          <w:szCs w:val="24"/>
        </w:rPr>
        <w:t>Aligns with strategic goals to foster a culture of continuous improvement</w:t>
      </w:r>
      <w:r w:rsidR="008206C4" w:rsidRPr="007F3230">
        <w:rPr>
          <w:sz w:val="24"/>
          <w:szCs w:val="24"/>
        </w:rPr>
        <w:t>.</w:t>
      </w:r>
    </w:p>
    <w:p w14:paraId="40A5A371" w14:textId="41640EAE" w:rsidR="00F64931" w:rsidRPr="00F32BD6" w:rsidRDefault="003E7405" w:rsidP="00D5187A">
      <w:pPr>
        <w:pStyle w:val="Heading2"/>
        <w:spacing w:line="240" w:lineRule="auto"/>
      </w:pPr>
      <w:r w:rsidRPr="00F32BD6">
        <w:t>Guiding Principles</w:t>
      </w:r>
    </w:p>
    <w:p w14:paraId="16B35A0A" w14:textId="77777777" w:rsidR="00D5187A" w:rsidRDefault="00D5187A" w:rsidP="00D5187A">
      <w:pPr>
        <w:pStyle w:val="ListBullet"/>
        <w:numPr>
          <w:ilvl w:val="0"/>
          <w:numId w:val="0"/>
        </w:numPr>
        <w:spacing w:after="0" w:line="240" w:lineRule="auto"/>
      </w:pPr>
    </w:p>
    <w:p w14:paraId="304DF08E" w14:textId="3B49BBB8" w:rsidR="008200EE" w:rsidRPr="007F3230" w:rsidRDefault="008200EE" w:rsidP="00D5187A">
      <w:pPr>
        <w:pStyle w:val="ListBullet"/>
        <w:numPr>
          <w:ilvl w:val="0"/>
          <w:numId w:val="0"/>
        </w:numPr>
        <w:spacing w:after="0" w:line="240" w:lineRule="auto"/>
        <w:rPr>
          <w:sz w:val="24"/>
          <w:szCs w:val="24"/>
        </w:rPr>
      </w:pPr>
      <w:r w:rsidRPr="007F3230">
        <w:rPr>
          <w:sz w:val="24"/>
          <w:szCs w:val="24"/>
        </w:rPr>
        <w:t xml:space="preserve">Peer </w:t>
      </w:r>
      <w:r w:rsidR="008206C4" w:rsidRPr="007F3230">
        <w:rPr>
          <w:sz w:val="24"/>
          <w:szCs w:val="24"/>
        </w:rPr>
        <w:t>evaluations</w:t>
      </w:r>
      <w:r w:rsidRPr="007F3230">
        <w:rPr>
          <w:sz w:val="24"/>
          <w:szCs w:val="24"/>
        </w:rPr>
        <w:t xml:space="preserve"> of teaching (</w:t>
      </w:r>
      <w:r w:rsidR="008206C4" w:rsidRPr="007F3230">
        <w:rPr>
          <w:sz w:val="24"/>
          <w:szCs w:val="24"/>
        </w:rPr>
        <w:t>PETs</w:t>
      </w:r>
      <w:r w:rsidRPr="007F3230">
        <w:rPr>
          <w:sz w:val="24"/>
          <w:szCs w:val="24"/>
        </w:rPr>
        <w:t xml:space="preserve">) </w:t>
      </w:r>
      <w:r w:rsidR="008206C4" w:rsidRPr="007F3230">
        <w:rPr>
          <w:sz w:val="24"/>
          <w:szCs w:val="24"/>
        </w:rPr>
        <w:t>are</w:t>
      </w:r>
      <w:r w:rsidRPr="007F3230">
        <w:rPr>
          <w:sz w:val="24"/>
          <w:szCs w:val="24"/>
        </w:rPr>
        <w:t xml:space="preserve"> designed to provide constructive feedback, enhance teaching effectiveness, and foster professional development by drawing on the expertise of colleagues. The process is formative in nature, developmental in intent, and focused on reflective dialogue and continuous improvement.</w:t>
      </w:r>
    </w:p>
    <w:p w14:paraId="7F0A6F06" w14:textId="77777777" w:rsidR="008206C4" w:rsidRPr="007F3230" w:rsidRDefault="008206C4" w:rsidP="00D5187A">
      <w:pPr>
        <w:pStyle w:val="ListBullet"/>
        <w:numPr>
          <w:ilvl w:val="0"/>
          <w:numId w:val="0"/>
        </w:numPr>
        <w:spacing w:after="0" w:line="240" w:lineRule="auto"/>
        <w:rPr>
          <w:sz w:val="24"/>
          <w:szCs w:val="24"/>
        </w:rPr>
      </w:pPr>
    </w:p>
    <w:p w14:paraId="41E947F0" w14:textId="51C30100" w:rsidR="008206C4" w:rsidRPr="007F3230" w:rsidRDefault="008206C4" w:rsidP="00D5187A">
      <w:pPr>
        <w:pStyle w:val="ListBullet"/>
        <w:numPr>
          <w:ilvl w:val="0"/>
          <w:numId w:val="0"/>
        </w:numPr>
        <w:spacing w:after="0" w:line="240" w:lineRule="auto"/>
        <w:rPr>
          <w:sz w:val="24"/>
          <w:szCs w:val="24"/>
        </w:rPr>
      </w:pPr>
      <w:r w:rsidRPr="007F3230">
        <w:rPr>
          <w:sz w:val="24"/>
          <w:szCs w:val="24"/>
        </w:rPr>
        <w:t xml:space="preserve">The following describes guiding principles </w:t>
      </w:r>
      <w:r w:rsidR="00CE138A">
        <w:rPr>
          <w:sz w:val="24"/>
          <w:szCs w:val="24"/>
        </w:rPr>
        <w:t xml:space="preserve">for </w:t>
      </w:r>
      <w:r w:rsidRPr="007F3230">
        <w:rPr>
          <w:sz w:val="24"/>
          <w:szCs w:val="24"/>
        </w:rPr>
        <w:t>effectively developing, implementing, and using</w:t>
      </w:r>
      <w:r w:rsidR="00262BF2">
        <w:rPr>
          <w:sz w:val="24"/>
          <w:szCs w:val="24"/>
        </w:rPr>
        <w:t xml:space="preserve"> </w:t>
      </w:r>
      <w:r w:rsidRPr="007F3230">
        <w:rPr>
          <w:sz w:val="24"/>
          <w:szCs w:val="24"/>
        </w:rPr>
        <w:t>PETs.</w:t>
      </w:r>
    </w:p>
    <w:p w14:paraId="2D7C03F0" w14:textId="69B1C1E3" w:rsidR="00F64931" w:rsidRPr="007F3230" w:rsidRDefault="003E7405" w:rsidP="00D5187A">
      <w:pPr>
        <w:pStyle w:val="ListBullet"/>
        <w:tabs>
          <w:tab w:val="clear" w:pos="360"/>
          <w:tab w:val="num" w:pos="720"/>
        </w:tabs>
        <w:spacing w:before="120" w:after="120" w:line="240" w:lineRule="auto"/>
        <w:ind w:left="720"/>
        <w:contextualSpacing w:val="0"/>
        <w:rPr>
          <w:sz w:val="24"/>
          <w:szCs w:val="24"/>
        </w:rPr>
      </w:pPr>
      <w:r w:rsidRPr="007F3230">
        <w:rPr>
          <w:i/>
          <w:iCs/>
          <w:sz w:val="24"/>
          <w:szCs w:val="24"/>
        </w:rPr>
        <w:t>Developmental</w:t>
      </w:r>
      <w:r w:rsidR="008206C4" w:rsidRPr="007F3230">
        <w:rPr>
          <w:sz w:val="24"/>
          <w:szCs w:val="24"/>
        </w:rPr>
        <w:t xml:space="preserve">. PETs should be developmentally focused, such that the intent of the evaluation is to identify and support opportunities for </w:t>
      </w:r>
      <w:r w:rsidRPr="007F3230">
        <w:rPr>
          <w:sz w:val="24"/>
          <w:szCs w:val="24"/>
        </w:rPr>
        <w:t>faculty growth in teaching.</w:t>
      </w:r>
    </w:p>
    <w:p w14:paraId="09AFD885" w14:textId="4DC68345" w:rsidR="00F64931" w:rsidRPr="007F3230" w:rsidRDefault="003E7405" w:rsidP="00D5187A">
      <w:pPr>
        <w:pStyle w:val="ListBullet"/>
        <w:tabs>
          <w:tab w:val="clear" w:pos="360"/>
          <w:tab w:val="num" w:pos="720"/>
        </w:tabs>
        <w:spacing w:before="120" w:after="120" w:line="240" w:lineRule="auto"/>
        <w:ind w:left="720"/>
        <w:contextualSpacing w:val="0"/>
        <w:rPr>
          <w:sz w:val="24"/>
          <w:szCs w:val="24"/>
        </w:rPr>
      </w:pPr>
      <w:r w:rsidRPr="007F3230">
        <w:rPr>
          <w:i/>
          <w:iCs/>
          <w:sz w:val="24"/>
          <w:szCs w:val="24"/>
        </w:rPr>
        <w:t>Flexibl</w:t>
      </w:r>
      <w:r w:rsidR="008206C4" w:rsidRPr="007F3230">
        <w:rPr>
          <w:i/>
          <w:iCs/>
          <w:sz w:val="24"/>
          <w:szCs w:val="24"/>
        </w:rPr>
        <w:t>e</w:t>
      </w:r>
      <w:r w:rsidR="008206C4" w:rsidRPr="007F3230">
        <w:rPr>
          <w:sz w:val="24"/>
          <w:szCs w:val="24"/>
        </w:rPr>
        <w:t xml:space="preserve">. PETs should be flexible, </w:t>
      </w:r>
      <w:r w:rsidR="00D6699A" w:rsidRPr="007F3230">
        <w:rPr>
          <w:sz w:val="24"/>
          <w:szCs w:val="24"/>
        </w:rPr>
        <w:t>where</w:t>
      </w:r>
      <w:r w:rsidR="008206C4" w:rsidRPr="007F3230">
        <w:rPr>
          <w:sz w:val="24"/>
          <w:szCs w:val="24"/>
        </w:rPr>
        <w:t xml:space="preserve"> variation</w:t>
      </w:r>
      <w:r w:rsidR="00D6699A" w:rsidRPr="007F3230">
        <w:rPr>
          <w:sz w:val="24"/>
          <w:szCs w:val="24"/>
        </w:rPr>
        <w:t>s</w:t>
      </w:r>
      <w:r w:rsidR="008206C4" w:rsidRPr="007F3230">
        <w:rPr>
          <w:sz w:val="24"/>
          <w:szCs w:val="24"/>
        </w:rPr>
        <w:t xml:space="preserve"> in the forms</w:t>
      </w:r>
      <w:r w:rsidR="00D6699A" w:rsidRPr="007F3230">
        <w:rPr>
          <w:sz w:val="24"/>
          <w:szCs w:val="24"/>
        </w:rPr>
        <w:t>/modalities</w:t>
      </w:r>
      <w:r w:rsidRPr="007F3230">
        <w:rPr>
          <w:sz w:val="24"/>
          <w:szCs w:val="24"/>
        </w:rPr>
        <w:t xml:space="preserve"> of </w:t>
      </w:r>
      <w:r w:rsidR="008206C4" w:rsidRPr="007F3230">
        <w:rPr>
          <w:sz w:val="24"/>
          <w:szCs w:val="24"/>
        </w:rPr>
        <w:t>evaluations</w:t>
      </w:r>
      <w:r w:rsidR="008200EE" w:rsidRPr="007F3230">
        <w:rPr>
          <w:sz w:val="24"/>
          <w:szCs w:val="24"/>
        </w:rPr>
        <w:t xml:space="preserve"> </w:t>
      </w:r>
      <w:r w:rsidR="00D6699A" w:rsidRPr="007F3230">
        <w:rPr>
          <w:sz w:val="24"/>
          <w:szCs w:val="24"/>
        </w:rPr>
        <w:t xml:space="preserve">are used </w:t>
      </w:r>
      <w:r w:rsidR="008206C4" w:rsidRPr="007F3230">
        <w:rPr>
          <w:sz w:val="24"/>
          <w:szCs w:val="24"/>
        </w:rPr>
        <w:t>to reflect</w:t>
      </w:r>
      <w:r w:rsidR="008200EE" w:rsidRPr="007F3230">
        <w:rPr>
          <w:sz w:val="24"/>
          <w:szCs w:val="24"/>
        </w:rPr>
        <w:t xml:space="preserve"> the </w:t>
      </w:r>
      <w:r w:rsidR="008206C4" w:rsidRPr="007F3230">
        <w:rPr>
          <w:sz w:val="24"/>
          <w:szCs w:val="24"/>
        </w:rPr>
        <w:t xml:space="preserve">specific </w:t>
      </w:r>
      <w:r w:rsidR="008200EE" w:rsidRPr="007F3230">
        <w:rPr>
          <w:sz w:val="24"/>
          <w:szCs w:val="24"/>
        </w:rPr>
        <w:t xml:space="preserve">purpose and context of the </w:t>
      </w:r>
      <w:r w:rsidR="008206C4" w:rsidRPr="007F3230">
        <w:rPr>
          <w:sz w:val="24"/>
          <w:szCs w:val="24"/>
        </w:rPr>
        <w:t>evaluation</w:t>
      </w:r>
      <w:r w:rsidR="008200EE" w:rsidRPr="007F3230">
        <w:rPr>
          <w:sz w:val="24"/>
          <w:szCs w:val="24"/>
        </w:rPr>
        <w:t>.</w:t>
      </w:r>
    </w:p>
    <w:p w14:paraId="3A1220FC" w14:textId="144DC9A5" w:rsidR="00F64931" w:rsidRPr="007F3230" w:rsidRDefault="003E7405" w:rsidP="00D5187A">
      <w:pPr>
        <w:pStyle w:val="ListBullet"/>
        <w:tabs>
          <w:tab w:val="clear" w:pos="360"/>
          <w:tab w:val="num" w:pos="720"/>
        </w:tabs>
        <w:spacing w:before="120" w:after="120" w:line="240" w:lineRule="auto"/>
        <w:ind w:left="720"/>
        <w:contextualSpacing w:val="0"/>
        <w:rPr>
          <w:sz w:val="24"/>
          <w:szCs w:val="24"/>
        </w:rPr>
      </w:pPr>
      <w:r w:rsidRPr="007F3230">
        <w:rPr>
          <w:i/>
          <w:iCs/>
          <w:sz w:val="24"/>
          <w:szCs w:val="24"/>
        </w:rPr>
        <w:t>Evidence-Based</w:t>
      </w:r>
      <w:r w:rsidR="00D6699A" w:rsidRPr="007F3230">
        <w:rPr>
          <w:sz w:val="24"/>
          <w:szCs w:val="24"/>
        </w:rPr>
        <w:t>. PETs should be g</w:t>
      </w:r>
      <w:r w:rsidRPr="007F3230">
        <w:rPr>
          <w:sz w:val="24"/>
          <w:szCs w:val="24"/>
        </w:rPr>
        <w:t xml:space="preserve">rounded </w:t>
      </w:r>
      <w:r w:rsidR="00D6699A" w:rsidRPr="007F3230">
        <w:rPr>
          <w:sz w:val="24"/>
          <w:szCs w:val="24"/>
        </w:rPr>
        <w:t xml:space="preserve">in </w:t>
      </w:r>
      <w:r w:rsidRPr="007F3230">
        <w:rPr>
          <w:sz w:val="24"/>
          <w:szCs w:val="24"/>
        </w:rPr>
        <w:t>multiple types of relevant evidence</w:t>
      </w:r>
      <w:r w:rsidR="00D6699A" w:rsidRPr="007F3230">
        <w:rPr>
          <w:sz w:val="24"/>
          <w:szCs w:val="24"/>
        </w:rPr>
        <w:t xml:space="preserve"> from multiple sources</w:t>
      </w:r>
      <w:r w:rsidRPr="007F3230">
        <w:rPr>
          <w:sz w:val="24"/>
          <w:szCs w:val="24"/>
        </w:rPr>
        <w:t>.</w:t>
      </w:r>
    </w:p>
    <w:p w14:paraId="64884600" w14:textId="00C0B518" w:rsidR="00F64931" w:rsidRPr="007F3230" w:rsidRDefault="003E7405" w:rsidP="00D5187A">
      <w:pPr>
        <w:pStyle w:val="ListBullet"/>
        <w:tabs>
          <w:tab w:val="clear" w:pos="360"/>
          <w:tab w:val="num" w:pos="720"/>
        </w:tabs>
        <w:spacing w:before="120" w:after="120" w:line="240" w:lineRule="auto"/>
        <w:ind w:left="720"/>
        <w:contextualSpacing w:val="0"/>
        <w:rPr>
          <w:sz w:val="24"/>
          <w:szCs w:val="24"/>
        </w:rPr>
      </w:pPr>
      <w:r w:rsidRPr="007F3230">
        <w:rPr>
          <w:i/>
          <w:iCs/>
          <w:sz w:val="24"/>
          <w:szCs w:val="24"/>
        </w:rPr>
        <w:t>Aligned</w:t>
      </w:r>
      <w:r w:rsidR="00D6699A" w:rsidRPr="007F3230">
        <w:rPr>
          <w:sz w:val="24"/>
          <w:szCs w:val="24"/>
        </w:rPr>
        <w:t>. PETs should be aligned to disciplinary standards and institutional expectations, including</w:t>
      </w:r>
      <w:r w:rsidRPr="007F3230">
        <w:rPr>
          <w:sz w:val="24"/>
          <w:szCs w:val="24"/>
        </w:rPr>
        <w:t xml:space="preserve"> Ohio University</w:t>
      </w:r>
      <w:r w:rsidR="00543774">
        <w:rPr>
          <w:sz w:val="24"/>
          <w:szCs w:val="24"/>
        </w:rPr>
        <w:t>'</w:t>
      </w:r>
      <w:r w:rsidRPr="007F3230">
        <w:rPr>
          <w:sz w:val="24"/>
          <w:szCs w:val="24"/>
        </w:rPr>
        <w:t xml:space="preserve">s eight criteria </w:t>
      </w:r>
      <w:r w:rsidR="00D6699A" w:rsidRPr="007F3230">
        <w:rPr>
          <w:sz w:val="24"/>
          <w:szCs w:val="24"/>
        </w:rPr>
        <w:t>of</w:t>
      </w:r>
      <w:r w:rsidRPr="007F3230">
        <w:rPr>
          <w:sz w:val="24"/>
          <w:szCs w:val="24"/>
        </w:rPr>
        <w:t xml:space="preserve"> teaching excellence.</w:t>
      </w:r>
    </w:p>
    <w:p w14:paraId="5AF261C3" w14:textId="3947A36A" w:rsidR="00F64931" w:rsidRPr="007F3230" w:rsidRDefault="003E7405" w:rsidP="00D5187A">
      <w:pPr>
        <w:pStyle w:val="ListBullet"/>
        <w:tabs>
          <w:tab w:val="clear" w:pos="360"/>
          <w:tab w:val="num" w:pos="720"/>
        </w:tabs>
        <w:spacing w:before="120" w:after="120" w:line="240" w:lineRule="auto"/>
        <w:ind w:left="720"/>
        <w:contextualSpacing w:val="0"/>
        <w:rPr>
          <w:sz w:val="24"/>
          <w:szCs w:val="24"/>
        </w:rPr>
      </w:pPr>
      <w:r w:rsidRPr="007F3230">
        <w:rPr>
          <w:i/>
          <w:iCs/>
          <w:sz w:val="24"/>
          <w:szCs w:val="24"/>
        </w:rPr>
        <w:t>Collaborative</w:t>
      </w:r>
      <w:r w:rsidR="00D6699A" w:rsidRPr="007F3230">
        <w:rPr>
          <w:sz w:val="24"/>
          <w:szCs w:val="24"/>
        </w:rPr>
        <w:t xml:space="preserve">. </w:t>
      </w:r>
      <w:bookmarkStart w:id="4" w:name="_Hlk198038389"/>
      <w:r w:rsidR="00D6699A" w:rsidRPr="007F3230">
        <w:rPr>
          <w:sz w:val="24"/>
          <w:szCs w:val="24"/>
        </w:rPr>
        <w:t xml:space="preserve">PETs should be </w:t>
      </w:r>
      <w:bookmarkEnd w:id="4"/>
      <w:r w:rsidR="00D6699A" w:rsidRPr="007F3230">
        <w:rPr>
          <w:sz w:val="24"/>
          <w:szCs w:val="24"/>
        </w:rPr>
        <w:t>collaborative, e</w:t>
      </w:r>
      <w:r w:rsidRPr="007F3230">
        <w:rPr>
          <w:sz w:val="24"/>
          <w:szCs w:val="24"/>
        </w:rPr>
        <w:t xml:space="preserve">mphasizing dialogue, mutual respect, and faculty agency </w:t>
      </w:r>
      <w:r w:rsidR="00D6699A" w:rsidRPr="007F3230">
        <w:rPr>
          <w:sz w:val="24"/>
          <w:szCs w:val="24"/>
        </w:rPr>
        <w:t>throughout</w:t>
      </w:r>
      <w:r w:rsidRPr="007F3230">
        <w:rPr>
          <w:sz w:val="24"/>
          <w:szCs w:val="24"/>
        </w:rPr>
        <w:t xml:space="preserve"> the process.</w:t>
      </w:r>
    </w:p>
    <w:p w14:paraId="621E77A0" w14:textId="1D946307" w:rsidR="0037176F" w:rsidRPr="007F3230" w:rsidRDefault="003E7405" w:rsidP="00D5187A">
      <w:pPr>
        <w:pStyle w:val="ListBullet"/>
        <w:tabs>
          <w:tab w:val="clear" w:pos="360"/>
          <w:tab w:val="num" w:pos="720"/>
        </w:tabs>
        <w:spacing w:before="120" w:after="120" w:line="240" w:lineRule="auto"/>
        <w:ind w:left="720"/>
        <w:contextualSpacing w:val="0"/>
        <w:rPr>
          <w:sz w:val="24"/>
          <w:szCs w:val="24"/>
        </w:rPr>
      </w:pPr>
      <w:r w:rsidRPr="007F3230">
        <w:rPr>
          <w:i/>
          <w:iCs/>
          <w:sz w:val="24"/>
          <w:szCs w:val="24"/>
        </w:rPr>
        <w:t>Equitable</w:t>
      </w:r>
      <w:r w:rsidR="00D6699A" w:rsidRPr="007F3230">
        <w:rPr>
          <w:sz w:val="24"/>
          <w:szCs w:val="24"/>
        </w:rPr>
        <w:t>. PETs should be d</w:t>
      </w:r>
      <w:r w:rsidRPr="007F3230">
        <w:rPr>
          <w:sz w:val="24"/>
          <w:szCs w:val="24"/>
        </w:rPr>
        <w:t xml:space="preserve">esigned to ensure transparency, fairness, and consistency </w:t>
      </w:r>
      <w:r w:rsidR="008200EE" w:rsidRPr="007F3230">
        <w:rPr>
          <w:sz w:val="24"/>
          <w:szCs w:val="24"/>
        </w:rPr>
        <w:t xml:space="preserve">within and </w:t>
      </w:r>
      <w:r w:rsidRPr="007F3230">
        <w:rPr>
          <w:sz w:val="24"/>
          <w:szCs w:val="24"/>
        </w:rPr>
        <w:t>across units.</w:t>
      </w:r>
    </w:p>
    <w:p w14:paraId="392B94B7" w14:textId="30CB6B0D" w:rsidR="008206C4" w:rsidRPr="007F3230" w:rsidRDefault="008206C4" w:rsidP="00D5187A">
      <w:pPr>
        <w:pStyle w:val="ListBullet"/>
        <w:tabs>
          <w:tab w:val="clear" w:pos="360"/>
          <w:tab w:val="num" w:pos="720"/>
        </w:tabs>
        <w:spacing w:before="120" w:after="120" w:line="240" w:lineRule="auto"/>
        <w:ind w:left="720"/>
        <w:contextualSpacing w:val="0"/>
        <w:rPr>
          <w:sz w:val="24"/>
          <w:szCs w:val="24"/>
        </w:rPr>
      </w:pPr>
      <w:r w:rsidRPr="007F3230">
        <w:rPr>
          <w:i/>
          <w:iCs/>
          <w:sz w:val="24"/>
          <w:szCs w:val="24"/>
        </w:rPr>
        <w:t>Responsibility</w:t>
      </w:r>
      <w:r w:rsidR="00D6699A" w:rsidRPr="007F3230">
        <w:rPr>
          <w:sz w:val="24"/>
          <w:szCs w:val="24"/>
        </w:rPr>
        <w:t xml:space="preserve">. PETs should clearly define the responsibilities of each person participating in the </w:t>
      </w:r>
      <w:r w:rsidR="00793C62" w:rsidRPr="007F3230">
        <w:rPr>
          <w:sz w:val="24"/>
          <w:szCs w:val="24"/>
        </w:rPr>
        <w:t xml:space="preserve">peer evaluation of teaching </w:t>
      </w:r>
      <w:r w:rsidR="00D6699A" w:rsidRPr="007F3230">
        <w:rPr>
          <w:sz w:val="24"/>
          <w:szCs w:val="24"/>
        </w:rPr>
        <w:t>process, including observers, reviewers, evaluators, and decision-makers.</w:t>
      </w:r>
    </w:p>
    <w:p w14:paraId="356A99EA" w14:textId="5770B5EF" w:rsidR="0037176F" w:rsidRPr="007F3230" w:rsidRDefault="008206C4" w:rsidP="00D5187A">
      <w:pPr>
        <w:pStyle w:val="ListBullet"/>
        <w:tabs>
          <w:tab w:val="clear" w:pos="360"/>
          <w:tab w:val="num" w:pos="720"/>
        </w:tabs>
        <w:spacing w:before="120" w:after="120" w:line="240" w:lineRule="auto"/>
        <w:ind w:left="720"/>
        <w:contextualSpacing w:val="0"/>
        <w:rPr>
          <w:sz w:val="24"/>
          <w:szCs w:val="24"/>
        </w:rPr>
      </w:pPr>
      <w:r w:rsidRPr="007F3230">
        <w:rPr>
          <w:i/>
          <w:iCs/>
          <w:sz w:val="24"/>
          <w:szCs w:val="24"/>
        </w:rPr>
        <w:t>Authority</w:t>
      </w:r>
      <w:r w:rsidR="00D6699A" w:rsidRPr="007F3230">
        <w:rPr>
          <w:sz w:val="24"/>
          <w:szCs w:val="24"/>
        </w:rPr>
        <w:t>.</w:t>
      </w:r>
      <w:r w:rsidR="00793C62" w:rsidRPr="007F3230">
        <w:rPr>
          <w:sz w:val="24"/>
          <w:szCs w:val="24"/>
        </w:rPr>
        <w:t xml:space="preserve"> </w:t>
      </w:r>
      <w:r w:rsidR="006E3CA3" w:rsidRPr="007F3230">
        <w:rPr>
          <w:sz w:val="24"/>
          <w:szCs w:val="24"/>
        </w:rPr>
        <w:t>PETs should clearly define authorities of individuals and groups involved in the peer evaluation of teaching process, including those with the authority to initiate a peer evaluation, determine peer evaluation criteria, establish the peer evaluation process, document results, and maintain records.</w:t>
      </w:r>
    </w:p>
    <w:p w14:paraId="770EDD77" w14:textId="5A20A2BD" w:rsidR="00E32E60" w:rsidRPr="00F32BD6" w:rsidRDefault="00E32E60" w:rsidP="00D5187A">
      <w:pPr>
        <w:pStyle w:val="Heading2"/>
        <w:spacing w:line="240" w:lineRule="auto"/>
      </w:pPr>
      <w:r w:rsidRPr="00F32BD6">
        <w:t>Frequency</w:t>
      </w:r>
    </w:p>
    <w:p w14:paraId="6BDBA2AE" w14:textId="77777777" w:rsidR="00D5187A" w:rsidRDefault="00D5187A" w:rsidP="00D5187A">
      <w:pPr>
        <w:spacing w:after="0" w:line="240" w:lineRule="auto"/>
        <w:contextualSpacing/>
      </w:pPr>
    </w:p>
    <w:p w14:paraId="1362619E" w14:textId="77777777" w:rsidR="00236CC2" w:rsidRPr="008B62F6" w:rsidRDefault="00E32E60" w:rsidP="002D55B3">
      <w:pPr>
        <w:pStyle w:val="NoSpacing"/>
        <w:rPr>
          <w:sz w:val="32"/>
          <w:szCs w:val="32"/>
        </w:rPr>
      </w:pPr>
      <w:r w:rsidRPr="002D55B3">
        <w:rPr>
          <w:sz w:val="24"/>
          <w:szCs w:val="24"/>
        </w:rPr>
        <w:t>Peer</w:t>
      </w:r>
      <w:r w:rsidR="006E3CA3" w:rsidRPr="002D55B3">
        <w:rPr>
          <w:sz w:val="24"/>
          <w:szCs w:val="24"/>
        </w:rPr>
        <w:t xml:space="preserve"> evaluations</w:t>
      </w:r>
      <w:r w:rsidRPr="002D55B3">
        <w:rPr>
          <w:sz w:val="24"/>
          <w:szCs w:val="24"/>
        </w:rPr>
        <w:t xml:space="preserve"> of teaching (PET</w:t>
      </w:r>
      <w:r w:rsidR="006E3CA3" w:rsidRPr="002D55B3">
        <w:rPr>
          <w:sz w:val="24"/>
          <w:szCs w:val="24"/>
        </w:rPr>
        <w:t>s</w:t>
      </w:r>
      <w:r w:rsidRPr="002D55B3">
        <w:rPr>
          <w:sz w:val="24"/>
          <w:szCs w:val="24"/>
        </w:rPr>
        <w:t>) are required at least once every three years for all full-time faculty. P</w:t>
      </w:r>
      <w:r w:rsidR="006E3CA3" w:rsidRPr="002D55B3">
        <w:rPr>
          <w:sz w:val="24"/>
          <w:szCs w:val="24"/>
        </w:rPr>
        <w:t xml:space="preserve">ETs </w:t>
      </w:r>
      <w:r w:rsidRPr="002D55B3">
        <w:rPr>
          <w:sz w:val="24"/>
          <w:szCs w:val="24"/>
        </w:rPr>
        <w:t>may be conducted more frequently upon request</w:t>
      </w:r>
      <w:r w:rsidR="006E3CA3" w:rsidRPr="002D55B3">
        <w:rPr>
          <w:sz w:val="24"/>
          <w:szCs w:val="24"/>
        </w:rPr>
        <w:t xml:space="preserve"> from one or more of the following: the faculty member who is the intended subject of the review, department/school, college</w:t>
      </w:r>
      <w:r w:rsidRPr="002D55B3">
        <w:rPr>
          <w:sz w:val="24"/>
          <w:szCs w:val="24"/>
        </w:rPr>
        <w:t xml:space="preserve">, or </w:t>
      </w:r>
      <w:r w:rsidR="006E3CA3" w:rsidRPr="002D55B3">
        <w:rPr>
          <w:sz w:val="24"/>
          <w:szCs w:val="24"/>
        </w:rPr>
        <w:t xml:space="preserve">university-level group (e.g., University Curriculum Council). </w:t>
      </w:r>
      <w:r w:rsidR="004F0257" w:rsidRPr="002D55B3">
        <w:rPr>
          <w:sz w:val="24"/>
          <w:szCs w:val="24"/>
        </w:rPr>
        <w:t xml:space="preserve">At the discretion of academic units, </w:t>
      </w:r>
      <w:r w:rsidR="006E3CA3" w:rsidRPr="002D55B3">
        <w:rPr>
          <w:sz w:val="24"/>
          <w:szCs w:val="24"/>
        </w:rPr>
        <w:t xml:space="preserve">PETs may also be </w:t>
      </w:r>
      <w:r w:rsidR="004F0257" w:rsidRPr="002D55B3">
        <w:rPr>
          <w:sz w:val="24"/>
          <w:szCs w:val="24"/>
        </w:rPr>
        <w:t xml:space="preserve">required </w:t>
      </w:r>
      <w:r w:rsidR="006E3CA3" w:rsidRPr="002D55B3">
        <w:rPr>
          <w:sz w:val="24"/>
          <w:szCs w:val="24"/>
        </w:rPr>
        <w:t>more freq</w:t>
      </w:r>
      <w:r w:rsidR="004F0257" w:rsidRPr="002D55B3">
        <w:rPr>
          <w:sz w:val="24"/>
          <w:szCs w:val="24"/>
        </w:rPr>
        <w:t>uently</w:t>
      </w:r>
      <w:r w:rsidR="006E3CA3" w:rsidRPr="002D55B3">
        <w:rPr>
          <w:sz w:val="24"/>
          <w:szCs w:val="24"/>
        </w:rPr>
        <w:t xml:space="preserve"> </w:t>
      </w:r>
      <w:r w:rsidRPr="002D55B3">
        <w:rPr>
          <w:sz w:val="24"/>
          <w:szCs w:val="24"/>
        </w:rPr>
        <w:t xml:space="preserve">as part of annual evaluations, </w:t>
      </w:r>
      <w:r w:rsidR="004F0257" w:rsidRPr="002D55B3">
        <w:rPr>
          <w:sz w:val="24"/>
          <w:szCs w:val="24"/>
        </w:rPr>
        <w:t xml:space="preserve">post-tenure review, </w:t>
      </w:r>
      <w:r w:rsidRPr="002D55B3">
        <w:rPr>
          <w:sz w:val="24"/>
          <w:szCs w:val="24"/>
        </w:rPr>
        <w:t>mentoring, or promotion</w:t>
      </w:r>
      <w:r w:rsidR="004F0257" w:rsidRPr="002D55B3">
        <w:rPr>
          <w:sz w:val="24"/>
          <w:szCs w:val="24"/>
        </w:rPr>
        <w:t>/tenure</w:t>
      </w:r>
      <w:r w:rsidRPr="002D55B3">
        <w:rPr>
          <w:sz w:val="24"/>
          <w:szCs w:val="24"/>
        </w:rPr>
        <w:t xml:space="preserve"> preparation.</w:t>
      </w:r>
    </w:p>
    <w:p w14:paraId="105FC993" w14:textId="082BCCF4" w:rsidR="00E32E60" w:rsidRPr="00F32BD6" w:rsidRDefault="00E32E60" w:rsidP="00D5187A">
      <w:pPr>
        <w:pStyle w:val="Heading2"/>
        <w:spacing w:line="240" w:lineRule="auto"/>
      </w:pPr>
      <w:r>
        <w:t>Documentation</w:t>
      </w:r>
    </w:p>
    <w:p w14:paraId="7635EF65" w14:textId="77777777" w:rsidR="00D5187A" w:rsidRDefault="00D5187A" w:rsidP="00D5187A">
      <w:pPr>
        <w:spacing w:after="0" w:line="240" w:lineRule="auto"/>
        <w:contextualSpacing/>
      </w:pPr>
    </w:p>
    <w:p w14:paraId="45C4B457" w14:textId="160E5625" w:rsidR="00E32E60" w:rsidRPr="007F3230" w:rsidRDefault="00E32E60" w:rsidP="00D5187A">
      <w:pPr>
        <w:spacing w:after="0" w:line="240" w:lineRule="auto"/>
        <w:contextualSpacing/>
        <w:rPr>
          <w:sz w:val="24"/>
          <w:szCs w:val="24"/>
        </w:rPr>
      </w:pPr>
      <w:r w:rsidRPr="007F3230">
        <w:rPr>
          <w:sz w:val="24"/>
          <w:szCs w:val="24"/>
        </w:rPr>
        <w:t xml:space="preserve">Colleges are expected to retain </w:t>
      </w:r>
      <w:r w:rsidR="004E77C0" w:rsidRPr="007F3230">
        <w:rPr>
          <w:sz w:val="24"/>
          <w:szCs w:val="24"/>
        </w:rPr>
        <w:t xml:space="preserve">peer evaluations of teaching </w:t>
      </w:r>
      <w:r w:rsidR="004F0257" w:rsidRPr="007F3230">
        <w:rPr>
          <w:sz w:val="24"/>
          <w:szCs w:val="24"/>
        </w:rPr>
        <w:t>records</w:t>
      </w:r>
      <w:r w:rsidR="004E77C0">
        <w:rPr>
          <w:sz w:val="24"/>
          <w:szCs w:val="24"/>
        </w:rPr>
        <w:t xml:space="preserve"> </w:t>
      </w:r>
      <w:r w:rsidRPr="007F3230">
        <w:rPr>
          <w:sz w:val="24"/>
          <w:szCs w:val="24"/>
        </w:rPr>
        <w:t>for all full-time faculty.</w:t>
      </w:r>
      <w:r w:rsidR="004E77C0">
        <w:rPr>
          <w:sz w:val="24"/>
          <w:szCs w:val="24"/>
        </w:rPr>
        <w:t xml:space="preserve"> Records should include the date of the most recent evaluation, the final written report, and the date of the next evaluation.</w:t>
      </w:r>
    </w:p>
    <w:p w14:paraId="2A39661B" w14:textId="77777777" w:rsidR="00E32E60" w:rsidRDefault="00E32E60" w:rsidP="00D5187A">
      <w:pPr>
        <w:pStyle w:val="ListBullet"/>
        <w:numPr>
          <w:ilvl w:val="0"/>
          <w:numId w:val="0"/>
        </w:numPr>
        <w:spacing w:after="0" w:line="240" w:lineRule="auto"/>
        <w:ind w:left="360" w:hanging="360"/>
      </w:pPr>
    </w:p>
    <w:p w14:paraId="72B3E57C" w14:textId="3B7507AB" w:rsidR="00892B48" w:rsidRDefault="00892B48" w:rsidP="00D5187A">
      <w:pPr>
        <w:pStyle w:val="Heading1"/>
        <w:spacing w:line="240" w:lineRule="auto"/>
      </w:pPr>
      <w:bookmarkStart w:id="5" w:name="_Hlk199792664"/>
      <w:bookmarkStart w:id="6" w:name="_Toc202259812"/>
      <w:r>
        <w:lastRenderedPageBreak/>
        <w:t xml:space="preserve">Peer </w:t>
      </w:r>
      <w:r w:rsidR="004F0257">
        <w:t>Evaluations</w:t>
      </w:r>
      <w:r>
        <w:t xml:space="preserve"> of Teaching</w:t>
      </w:r>
      <w:bookmarkEnd w:id="6"/>
    </w:p>
    <w:bookmarkEnd w:id="5"/>
    <w:p w14:paraId="2460F3FC" w14:textId="4228D4FE" w:rsidR="004F0257" w:rsidRPr="007F3230" w:rsidRDefault="004F0257" w:rsidP="007F3230">
      <w:pPr>
        <w:pStyle w:val="Heading2"/>
      </w:pPr>
      <w:r w:rsidRPr="007F3230">
        <w:t>OHIO</w:t>
      </w:r>
      <w:r w:rsidR="00543774">
        <w:t>'</w:t>
      </w:r>
      <w:r w:rsidRPr="007F3230">
        <w:t xml:space="preserve">s Teaching Excellence Criteria </w:t>
      </w:r>
    </w:p>
    <w:p w14:paraId="118A632F" w14:textId="77777777" w:rsidR="00D5187A" w:rsidRPr="001E068D" w:rsidRDefault="00D5187A" w:rsidP="00D5187A">
      <w:pPr>
        <w:spacing w:line="240" w:lineRule="auto"/>
      </w:pPr>
    </w:p>
    <w:p w14:paraId="6BEA5B97" w14:textId="0E2DE3D7" w:rsidR="004F0257" w:rsidRPr="007F3230" w:rsidRDefault="004F0257" w:rsidP="00D5187A">
      <w:pPr>
        <w:spacing w:line="240" w:lineRule="auto"/>
        <w:rPr>
          <w:sz w:val="24"/>
          <w:szCs w:val="24"/>
        </w:rPr>
      </w:pPr>
      <w:r w:rsidRPr="007F3230">
        <w:rPr>
          <w:sz w:val="24"/>
          <w:szCs w:val="24"/>
        </w:rPr>
        <w:t>Ohio University (OHIO) defines teaching excellence as outstanding performance in the role of an educator inside and outside the classroom setting. Specifically, OHIO defines excellent teachers as prepared, engaged, inclusive subject matter and pedagogical experts who prioritize student achievement of learning. Accordingly, the six descriptors of excellent teaching – well-designed, well-delivered, inclusive, learner-focused, reflective and evolving – serve as the underlying framework for recognizing and celebrating teaching excellence.</w:t>
      </w:r>
    </w:p>
    <w:p w14:paraId="5EE49A1F" w14:textId="77777777" w:rsidR="004F0257" w:rsidRPr="007F3230" w:rsidRDefault="004F0257" w:rsidP="00D5187A">
      <w:pPr>
        <w:spacing w:before="120" w:after="120" w:line="240" w:lineRule="auto"/>
        <w:rPr>
          <w:sz w:val="24"/>
          <w:szCs w:val="24"/>
        </w:rPr>
      </w:pPr>
      <w:r w:rsidRPr="007F3230">
        <w:rPr>
          <w:sz w:val="24"/>
          <w:szCs w:val="24"/>
        </w:rPr>
        <w:t>The six descriptors of excellent teaching at OHIO are put into action using eight criteria, which are roughly organized into a cycle of teaching and include:</w:t>
      </w:r>
    </w:p>
    <w:p w14:paraId="02F98F4D" w14:textId="77777777" w:rsidR="004F0257" w:rsidRPr="007F3230" w:rsidRDefault="004F0257" w:rsidP="008A17F1">
      <w:pPr>
        <w:pStyle w:val="ListParagraph"/>
        <w:numPr>
          <w:ilvl w:val="0"/>
          <w:numId w:val="7"/>
        </w:numPr>
        <w:spacing w:before="120" w:after="120" w:line="240" w:lineRule="auto"/>
        <w:contextualSpacing w:val="0"/>
        <w:rPr>
          <w:sz w:val="24"/>
          <w:szCs w:val="24"/>
        </w:rPr>
      </w:pPr>
      <w:r w:rsidRPr="007F3230">
        <w:rPr>
          <w:sz w:val="24"/>
          <w:szCs w:val="24"/>
        </w:rPr>
        <w:t>Preparation – ability to plan for teaching.</w:t>
      </w:r>
    </w:p>
    <w:p w14:paraId="3AFB3000" w14:textId="77777777" w:rsidR="004F0257" w:rsidRPr="007F3230" w:rsidRDefault="004F0257" w:rsidP="008A17F1">
      <w:pPr>
        <w:pStyle w:val="ListParagraph"/>
        <w:numPr>
          <w:ilvl w:val="0"/>
          <w:numId w:val="7"/>
        </w:numPr>
        <w:spacing w:before="120" w:after="120" w:line="240" w:lineRule="auto"/>
        <w:contextualSpacing w:val="0"/>
        <w:rPr>
          <w:sz w:val="24"/>
          <w:szCs w:val="24"/>
        </w:rPr>
      </w:pPr>
      <w:r w:rsidRPr="007F3230">
        <w:rPr>
          <w:sz w:val="24"/>
          <w:szCs w:val="24"/>
        </w:rPr>
        <w:t>Engagement – ability to deliver content and manage the student learning process.</w:t>
      </w:r>
    </w:p>
    <w:p w14:paraId="516D3E3A" w14:textId="77777777" w:rsidR="004F0257" w:rsidRPr="007F3230" w:rsidRDefault="004F0257" w:rsidP="008A17F1">
      <w:pPr>
        <w:pStyle w:val="ListParagraph"/>
        <w:numPr>
          <w:ilvl w:val="0"/>
          <w:numId w:val="7"/>
        </w:numPr>
        <w:spacing w:before="120" w:after="120" w:line="240" w:lineRule="auto"/>
        <w:contextualSpacing w:val="0"/>
        <w:rPr>
          <w:sz w:val="24"/>
          <w:szCs w:val="24"/>
        </w:rPr>
      </w:pPr>
      <w:r w:rsidRPr="007F3230">
        <w:rPr>
          <w:sz w:val="24"/>
          <w:szCs w:val="24"/>
        </w:rPr>
        <w:t>Inclusion – ability to serve the learning needs of all students.</w:t>
      </w:r>
    </w:p>
    <w:p w14:paraId="66F919D3" w14:textId="77777777" w:rsidR="004F0257" w:rsidRPr="007F3230" w:rsidRDefault="004F0257" w:rsidP="008A17F1">
      <w:pPr>
        <w:pStyle w:val="ListParagraph"/>
        <w:numPr>
          <w:ilvl w:val="0"/>
          <w:numId w:val="7"/>
        </w:numPr>
        <w:spacing w:before="120" w:after="120" w:line="240" w:lineRule="auto"/>
        <w:contextualSpacing w:val="0"/>
        <w:rPr>
          <w:sz w:val="24"/>
          <w:szCs w:val="24"/>
        </w:rPr>
      </w:pPr>
      <w:r w:rsidRPr="007F3230">
        <w:rPr>
          <w:sz w:val="24"/>
          <w:szCs w:val="24"/>
        </w:rPr>
        <w:t>Subject Expertise – ability to maintain/develop expert subject knowledge.</w:t>
      </w:r>
    </w:p>
    <w:p w14:paraId="7D609CEC" w14:textId="77777777" w:rsidR="004F0257" w:rsidRPr="007F3230" w:rsidRDefault="004F0257" w:rsidP="008A17F1">
      <w:pPr>
        <w:pStyle w:val="ListParagraph"/>
        <w:numPr>
          <w:ilvl w:val="0"/>
          <w:numId w:val="7"/>
        </w:numPr>
        <w:spacing w:before="120" w:after="120" w:line="240" w:lineRule="auto"/>
        <w:contextualSpacing w:val="0"/>
        <w:rPr>
          <w:sz w:val="24"/>
          <w:szCs w:val="24"/>
        </w:rPr>
      </w:pPr>
      <w:r w:rsidRPr="007F3230">
        <w:rPr>
          <w:sz w:val="24"/>
          <w:szCs w:val="24"/>
        </w:rPr>
        <w:t>Pedagogical Competence – ability to maintain/develop timely knowledge and skills in the theories and practice of teaching and learning.</w:t>
      </w:r>
    </w:p>
    <w:p w14:paraId="7E7111CD" w14:textId="77777777" w:rsidR="004F0257" w:rsidRPr="007F3230" w:rsidRDefault="004F0257" w:rsidP="008A17F1">
      <w:pPr>
        <w:pStyle w:val="ListParagraph"/>
        <w:numPr>
          <w:ilvl w:val="0"/>
          <w:numId w:val="7"/>
        </w:numPr>
        <w:spacing w:before="120" w:after="120" w:line="240" w:lineRule="auto"/>
        <w:contextualSpacing w:val="0"/>
        <w:rPr>
          <w:sz w:val="24"/>
          <w:szCs w:val="24"/>
        </w:rPr>
      </w:pPr>
      <w:r w:rsidRPr="007F3230">
        <w:rPr>
          <w:sz w:val="24"/>
          <w:szCs w:val="24"/>
        </w:rPr>
        <w:t>Outcome – ability to achieve desired teaching results.</w:t>
      </w:r>
    </w:p>
    <w:p w14:paraId="52C4E048" w14:textId="77777777" w:rsidR="004F0257" w:rsidRPr="007F3230" w:rsidRDefault="004F0257" w:rsidP="008A17F1">
      <w:pPr>
        <w:pStyle w:val="ListParagraph"/>
        <w:numPr>
          <w:ilvl w:val="0"/>
          <w:numId w:val="7"/>
        </w:numPr>
        <w:spacing w:before="120" w:after="120" w:line="240" w:lineRule="auto"/>
        <w:contextualSpacing w:val="0"/>
        <w:rPr>
          <w:sz w:val="24"/>
          <w:szCs w:val="24"/>
        </w:rPr>
      </w:pPr>
      <w:r w:rsidRPr="007F3230">
        <w:rPr>
          <w:sz w:val="24"/>
          <w:szCs w:val="24"/>
        </w:rPr>
        <w:t>Improvement – ability to revise teaching practices.</w:t>
      </w:r>
    </w:p>
    <w:p w14:paraId="65DCF8E7" w14:textId="77777777" w:rsidR="004F0257" w:rsidRPr="007F3230" w:rsidRDefault="004F0257" w:rsidP="008A17F1">
      <w:pPr>
        <w:pStyle w:val="ListParagraph"/>
        <w:numPr>
          <w:ilvl w:val="0"/>
          <w:numId w:val="7"/>
        </w:numPr>
        <w:spacing w:before="120" w:after="120" w:line="240" w:lineRule="auto"/>
        <w:contextualSpacing w:val="0"/>
        <w:rPr>
          <w:sz w:val="24"/>
          <w:szCs w:val="24"/>
        </w:rPr>
      </w:pPr>
      <w:r w:rsidRPr="007F3230">
        <w:rPr>
          <w:sz w:val="24"/>
          <w:szCs w:val="24"/>
        </w:rPr>
        <w:t>Adaptability &amp; Innovation – ability to navigate the evolving nature of teaching.</w:t>
      </w:r>
    </w:p>
    <w:p w14:paraId="2EA243FD" w14:textId="77777777" w:rsidR="00D5187A" w:rsidRPr="007F3230" w:rsidRDefault="00D5187A" w:rsidP="00D5187A">
      <w:pPr>
        <w:spacing w:after="0" w:line="240" w:lineRule="auto"/>
        <w:rPr>
          <w:sz w:val="24"/>
          <w:szCs w:val="24"/>
        </w:rPr>
      </w:pPr>
    </w:p>
    <w:p w14:paraId="7AAD8488" w14:textId="2EBB5153" w:rsidR="004F0257" w:rsidRPr="007F3230" w:rsidRDefault="004F0257" w:rsidP="00D5187A">
      <w:pPr>
        <w:spacing w:after="0" w:line="240" w:lineRule="auto"/>
        <w:rPr>
          <w:sz w:val="24"/>
          <w:szCs w:val="24"/>
        </w:rPr>
      </w:pPr>
      <w:r w:rsidRPr="007F3230">
        <w:rPr>
          <w:sz w:val="24"/>
          <w:szCs w:val="24"/>
        </w:rPr>
        <w:t>Approved by the Ohio University Faculty Senate in December 2022, the definition and criteria allow academic units to flexibly consider teaching excellence based on disciplinary expectations, expertise, context and student populations served and acknowledge variations among disciplines and considering teaching context, expectations and/or assignments.</w:t>
      </w:r>
    </w:p>
    <w:p w14:paraId="74ACCDD9" w14:textId="73A88E1D" w:rsidR="00F64931" w:rsidRPr="00F32BD6" w:rsidRDefault="003E7405" w:rsidP="00D5187A">
      <w:pPr>
        <w:pStyle w:val="Heading2"/>
        <w:spacing w:line="240" w:lineRule="auto"/>
      </w:pPr>
      <w:r w:rsidRPr="00F32BD6">
        <w:t>Evaluation Criteria</w:t>
      </w:r>
    </w:p>
    <w:p w14:paraId="27807841" w14:textId="77777777" w:rsidR="00D5187A" w:rsidRDefault="00D5187A" w:rsidP="00D5187A">
      <w:pPr>
        <w:spacing w:after="0" w:line="240" w:lineRule="auto"/>
        <w:contextualSpacing/>
      </w:pPr>
    </w:p>
    <w:p w14:paraId="6F12AD40" w14:textId="74A09250" w:rsidR="00D5187A" w:rsidRPr="007F3230" w:rsidRDefault="008200EE" w:rsidP="00D5187A">
      <w:pPr>
        <w:spacing w:line="240" w:lineRule="auto"/>
        <w:rPr>
          <w:b/>
          <w:bCs/>
          <w:caps/>
          <w:sz w:val="24"/>
          <w:szCs w:val="24"/>
        </w:rPr>
      </w:pPr>
      <w:r w:rsidRPr="007F3230">
        <w:rPr>
          <w:sz w:val="24"/>
          <w:szCs w:val="24"/>
        </w:rPr>
        <w:t xml:space="preserve">Peer </w:t>
      </w:r>
      <w:r w:rsidR="004F0257" w:rsidRPr="007F3230">
        <w:rPr>
          <w:sz w:val="24"/>
          <w:szCs w:val="24"/>
        </w:rPr>
        <w:t>evaluations</w:t>
      </w:r>
      <w:r w:rsidRPr="007F3230">
        <w:rPr>
          <w:sz w:val="24"/>
          <w:szCs w:val="24"/>
        </w:rPr>
        <w:t xml:space="preserve"> </w:t>
      </w:r>
      <w:r w:rsidR="006848F3" w:rsidRPr="007F3230">
        <w:rPr>
          <w:sz w:val="24"/>
          <w:szCs w:val="24"/>
        </w:rPr>
        <w:t xml:space="preserve">of teaching </w:t>
      </w:r>
      <w:r w:rsidR="00875BEA" w:rsidRPr="007F3230">
        <w:rPr>
          <w:sz w:val="24"/>
          <w:szCs w:val="24"/>
        </w:rPr>
        <w:t>should</w:t>
      </w:r>
      <w:r w:rsidRPr="007F3230">
        <w:rPr>
          <w:sz w:val="24"/>
          <w:szCs w:val="24"/>
        </w:rPr>
        <w:t xml:space="preserve"> draw upon </w:t>
      </w:r>
      <w:r w:rsidR="004F0257" w:rsidRPr="007F3230">
        <w:rPr>
          <w:sz w:val="24"/>
          <w:szCs w:val="24"/>
        </w:rPr>
        <w:t>OHIO</w:t>
      </w:r>
      <w:r w:rsidR="00543774">
        <w:rPr>
          <w:sz w:val="24"/>
          <w:szCs w:val="24"/>
        </w:rPr>
        <w:t>'</w:t>
      </w:r>
      <w:r w:rsidR="004F0257" w:rsidRPr="007F3230">
        <w:rPr>
          <w:sz w:val="24"/>
          <w:szCs w:val="24"/>
        </w:rPr>
        <w:t>s eight</w:t>
      </w:r>
      <w:r w:rsidR="00875BEA" w:rsidRPr="007F3230">
        <w:rPr>
          <w:sz w:val="24"/>
          <w:szCs w:val="24"/>
        </w:rPr>
        <w:t xml:space="preserve"> </w:t>
      </w:r>
      <w:r w:rsidR="00036614" w:rsidRPr="007F3230">
        <w:rPr>
          <w:sz w:val="24"/>
          <w:szCs w:val="24"/>
        </w:rPr>
        <w:t>criteria</w:t>
      </w:r>
      <w:r w:rsidR="004F0257" w:rsidRPr="007F3230">
        <w:rPr>
          <w:sz w:val="24"/>
          <w:szCs w:val="24"/>
        </w:rPr>
        <w:t xml:space="preserve"> of teaching excellence by </w:t>
      </w:r>
      <w:r w:rsidR="00036614" w:rsidRPr="007F3230">
        <w:rPr>
          <w:sz w:val="24"/>
          <w:szCs w:val="24"/>
        </w:rPr>
        <w:t>focus</w:t>
      </w:r>
      <w:r w:rsidR="004F0257" w:rsidRPr="007F3230">
        <w:rPr>
          <w:sz w:val="24"/>
          <w:szCs w:val="24"/>
        </w:rPr>
        <w:t>ing</w:t>
      </w:r>
      <w:r w:rsidR="00036614" w:rsidRPr="007F3230">
        <w:rPr>
          <w:sz w:val="24"/>
          <w:szCs w:val="24"/>
        </w:rPr>
        <w:t xml:space="preserve"> on one or more of these criteria</w:t>
      </w:r>
      <w:r w:rsidR="004F0257" w:rsidRPr="007F3230">
        <w:rPr>
          <w:sz w:val="24"/>
          <w:szCs w:val="24"/>
        </w:rPr>
        <w:t xml:space="preserve">, </w:t>
      </w:r>
      <w:r w:rsidR="00036614" w:rsidRPr="007F3230">
        <w:rPr>
          <w:sz w:val="24"/>
          <w:szCs w:val="24"/>
        </w:rPr>
        <w:t xml:space="preserve">depending on the purpose of the </w:t>
      </w:r>
      <w:r w:rsidR="004F0257" w:rsidRPr="007F3230">
        <w:rPr>
          <w:sz w:val="24"/>
          <w:szCs w:val="24"/>
        </w:rPr>
        <w:t>evaluation</w:t>
      </w:r>
      <w:r w:rsidR="00036614" w:rsidRPr="007F3230">
        <w:rPr>
          <w:sz w:val="24"/>
          <w:szCs w:val="24"/>
        </w:rPr>
        <w:t xml:space="preserve"> and the priorities of the </w:t>
      </w:r>
      <w:r w:rsidR="004F0257" w:rsidRPr="007F3230">
        <w:rPr>
          <w:sz w:val="24"/>
          <w:szCs w:val="24"/>
        </w:rPr>
        <w:t>faculty member undergoing the evaluation</w:t>
      </w:r>
      <w:r w:rsidR="00036614" w:rsidRPr="007F3230">
        <w:rPr>
          <w:sz w:val="24"/>
          <w:szCs w:val="24"/>
        </w:rPr>
        <w:t xml:space="preserve">, program, department/school, and/or college. </w:t>
      </w:r>
      <w:r w:rsidR="00D5187A" w:rsidRPr="007F3230">
        <w:rPr>
          <w:sz w:val="24"/>
          <w:szCs w:val="24"/>
        </w:rPr>
        <w:t>The focus of the evaluation may vary based on the faculty member</w:t>
      </w:r>
      <w:r w:rsidR="00543774">
        <w:rPr>
          <w:sz w:val="24"/>
          <w:szCs w:val="24"/>
        </w:rPr>
        <w:t>'</w:t>
      </w:r>
      <w:r w:rsidR="00D5187A" w:rsidRPr="007F3230">
        <w:rPr>
          <w:sz w:val="24"/>
          <w:szCs w:val="24"/>
        </w:rPr>
        <w:t>s goals, workload assignment, types of courses, program expectations, or department/school/college priorities.</w:t>
      </w:r>
    </w:p>
    <w:p w14:paraId="7D6186D3" w14:textId="691FD06A" w:rsidR="00D5187A" w:rsidRDefault="004F0257" w:rsidP="00D5187A">
      <w:pPr>
        <w:spacing w:after="0" w:line="240" w:lineRule="auto"/>
        <w:contextualSpacing/>
        <w:rPr>
          <w:sz w:val="24"/>
          <w:szCs w:val="24"/>
        </w:rPr>
      </w:pPr>
      <w:r w:rsidRPr="007F3230">
        <w:rPr>
          <w:sz w:val="24"/>
          <w:szCs w:val="24"/>
        </w:rPr>
        <w:t>Participants (reviewers, observers, and evaluators)</w:t>
      </w:r>
      <w:r w:rsidR="00036614" w:rsidRPr="007F3230">
        <w:rPr>
          <w:sz w:val="24"/>
          <w:szCs w:val="24"/>
        </w:rPr>
        <w:t xml:space="preserve"> should consult with </w:t>
      </w:r>
      <w:r w:rsidR="00B745A4" w:rsidRPr="007F3230">
        <w:rPr>
          <w:sz w:val="24"/>
          <w:szCs w:val="24"/>
        </w:rPr>
        <w:t xml:space="preserve">the </w:t>
      </w:r>
      <w:r w:rsidR="00036614" w:rsidRPr="007F3230">
        <w:rPr>
          <w:sz w:val="24"/>
          <w:szCs w:val="24"/>
        </w:rPr>
        <w:t xml:space="preserve">faculty </w:t>
      </w:r>
      <w:proofErr w:type="gramStart"/>
      <w:r w:rsidRPr="007F3230">
        <w:rPr>
          <w:sz w:val="24"/>
          <w:szCs w:val="24"/>
        </w:rPr>
        <w:t>member</w:t>
      </w:r>
      <w:proofErr w:type="gramEnd"/>
      <w:r w:rsidRPr="007F3230">
        <w:rPr>
          <w:sz w:val="24"/>
          <w:szCs w:val="24"/>
        </w:rPr>
        <w:t xml:space="preserve"> undergoing the evaluation and academic units </w:t>
      </w:r>
      <w:r w:rsidR="00036614" w:rsidRPr="007F3230">
        <w:rPr>
          <w:sz w:val="24"/>
          <w:szCs w:val="24"/>
        </w:rPr>
        <w:t>in advance to determine which criteria are most relevant for the context of the course</w:t>
      </w:r>
      <w:r w:rsidR="00236CC2">
        <w:rPr>
          <w:sz w:val="24"/>
          <w:szCs w:val="24"/>
        </w:rPr>
        <w:t>(s)</w:t>
      </w:r>
      <w:r w:rsidR="00036614" w:rsidRPr="007F3230">
        <w:rPr>
          <w:sz w:val="24"/>
          <w:szCs w:val="24"/>
        </w:rPr>
        <w:t xml:space="preserve"> or teaching assignment</w:t>
      </w:r>
      <w:r w:rsidR="00236CC2">
        <w:rPr>
          <w:sz w:val="24"/>
          <w:szCs w:val="24"/>
        </w:rPr>
        <w:t>(s)</w:t>
      </w:r>
      <w:r w:rsidR="00036614" w:rsidRPr="007F3230">
        <w:rPr>
          <w:sz w:val="24"/>
          <w:szCs w:val="24"/>
        </w:rPr>
        <w:t>.</w:t>
      </w:r>
    </w:p>
    <w:p w14:paraId="59CA6369" w14:textId="1BC2BA73" w:rsidR="00D5187A" w:rsidRDefault="00D5187A" w:rsidP="00D5187A">
      <w:pPr>
        <w:pStyle w:val="Heading2"/>
        <w:spacing w:line="240" w:lineRule="auto"/>
      </w:pPr>
      <w:r>
        <w:lastRenderedPageBreak/>
        <w:t>Source</w:t>
      </w:r>
      <w:r w:rsidR="00C63B0D">
        <w:t>s</w:t>
      </w:r>
      <w:r>
        <w:t xml:space="preserve"> of evidence</w:t>
      </w:r>
    </w:p>
    <w:p w14:paraId="31874EB4" w14:textId="77777777" w:rsidR="00D5187A" w:rsidRDefault="00D5187A" w:rsidP="00D5187A">
      <w:pPr>
        <w:spacing w:after="0" w:line="240" w:lineRule="auto"/>
        <w:contextualSpacing/>
      </w:pPr>
    </w:p>
    <w:p w14:paraId="2EE31FDD" w14:textId="599C36CE" w:rsidR="00D5187A" w:rsidRPr="007F3230" w:rsidRDefault="00D5187A" w:rsidP="00D5187A">
      <w:pPr>
        <w:spacing w:after="0" w:line="240" w:lineRule="auto"/>
        <w:rPr>
          <w:sz w:val="24"/>
          <w:szCs w:val="24"/>
        </w:rPr>
      </w:pPr>
      <w:r w:rsidRPr="007F3230">
        <w:rPr>
          <w:sz w:val="24"/>
          <w:szCs w:val="24"/>
        </w:rPr>
        <w:t xml:space="preserve">Ideally, peer evaluations </w:t>
      </w:r>
      <w:r w:rsidR="006848F3" w:rsidRPr="007F3230">
        <w:rPr>
          <w:sz w:val="24"/>
          <w:szCs w:val="24"/>
        </w:rPr>
        <w:t xml:space="preserve">of teaching </w:t>
      </w:r>
      <w:r w:rsidRPr="007F3230">
        <w:rPr>
          <w:sz w:val="24"/>
          <w:szCs w:val="24"/>
        </w:rPr>
        <w:t xml:space="preserve">should assess one or more of the eight teaching excellence criteria using a variety of qualitative and quantitative evidence. Evidence may come from various sources, including (but not limited to) the faculty member, students, colleagues/peers, experts (e.g., course designers, pedagogical consultants) academic leaders (e.g., department chairs, program directors), and/or </w:t>
      </w:r>
      <w:r w:rsidR="00C63B0D" w:rsidRPr="007F3230">
        <w:rPr>
          <w:sz w:val="24"/>
          <w:szCs w:val="24"/>
        </w:rPr>
        <w:t xml:space="preserve">external </w:t>
      </w:r>
      <w:r w:rsidRPr="007F3230">
        <w:rPr>
          <w:sz w:val="24"/>
          <w:szCs w:val="24"/>
        </w:rPr>
        <w:t>stakeholders (e.g., alums, recruiters, parents/guardians, community partners, etc.).</w:t>
      </w:r>
      <w:r w:rsidR="00C63B0D" w:rsidRPr="007F3230">
        <w:rPr>
          <w:sz w:val="24"/>
          <w:szCs w:val="24"/>
        </w:rPr>
        <w:t xml:space="preserve"> Specifically, sources of evidence may include:</w:t>
      </w:r>
    </w:p>
    <w:p w14:paraId="6E31DE84" w14:textId="7A9412FA" w:rsidR="00C63B0D" w:rsidRPr="007F3230" w:rsidRDefault="00C63B0D" w:rsidP="008A17F1">
      <w:pPr>
        <w:pStyle w:val="NoSpacing"/>
        <w:numPr>
          <w:ilvl w:val="0"/>
          <w:numId w:val="17"/>
        </w:numPr>
        <w:spacing w:before="120" w:after="120"/>
        <w:rPr>
          <w:sz w:val="24"/>
          <w:szCs w:val="24"/>
        </w:rPr>
      </w:pPr>
      <w:r w:rsidRPr="007F3230">
        <w:rPr>
          <w:sz w:val="24"/>
          <w:szCs w:val="24"/>
        </w:rPr>
        <w:t>Self-assessment – statements prepared by teachers to describe and reflect on their professional approach to teaching.</w:t>
      </w:r>
    </w:p>
    <w:p w14:paraId="764E83B9" w14:textId="5A44F118" w:rsidR="00C63B0D" w:rsidRPr="007F3230" w:rsidRDefault="00C63B0D" w:rsidP="008A17F1">
      <w:pPr>
        <w:pStyle w:val="NoSpacing"/>
        <w:numPr>
          <w:ilvl w:val="0"/>
          <w:numId w:val="17"/>
        </w:numPr>
        <w:spacing w:before="120" w:after="120"/>
        <w:rPr>
          <w:sz w:val="24"/>
          <w:szCs w:val="24"/>
        </w:rPr>
      </w:pPr>
      <w:r w:rsidRPr="007F3230">
        <w:rPr>
          <w:sz w:val="24"/>
          <w:szCs w:val="24"/>
        </w:rPr>
        <w:t>Professional activities – descriptions and documentation of professional activities in teaching and learning that offer insights into the nature, scope, and range of contributions made through areas of interest and expertise.</w:t>
      </w:r>
    </w:p>
    <w:p w14:paraId="75CB25FB" w14:textId="31DA2FBD" w:rsidR="00C63B0D" w:rsidRPr="007F3230" w:rsidRDefault="00C63B0D" w:rsidP="008A17F1">
      <w:pPr>
        <w:pStyle w:val="NoSpacing"/>
        <w:numPr>
          <w:ilvl w:val="0"/>
          <w:numId w:val="17"/>
        </w:numPr>
        <w:spacing w:before="120" w:after="120"/>
        <w:rPr>
          <w:sz w:val="24"/>
          <w:szCs w:val="24"/>
        </w:rPr>
      </w:pPr>
      <w:r w:rsidRPr="007F3230">
        <w:rPr>
          <w:sz w:val="24"/>
          <w:szCs w:val="24"/>
        </w:rPr>
        <w:t>Measures of student learning – direct (e.g., assessments of learning) or indirect assessments (student evaluations of teaching) of students' knowledge, skills, and/or attitudes.</w:t>
      </w:r>
    </w:p>
    <w:p w14:paraId="04F583B5" w14:textId="31767167" w:rsidR="00D5187A" w:rsidRDefault="00C63B0D" w:rsidP="008A17F1">
      <w:pPr>
        <w:pStyle w:val="NoSpacing"/>
        <w:numPr>
          <w:ilvl w:val="0"/>
          <w:numId w:val="17"/>
        </w:numPr>
        <w:spacing w:before="120" w:after="120"/>
        <w:rPr>
          <w:sz w:val="24"/>
          <w:szCs w:val="24"/>
        </w:rPr>
      </w:pPr>
      <w:r w:rsidRPr="007F3230">
        <w:rPr>
          <w:sz w:val="24"/>
          <w:szCs w:val="24"/>
        </w:rPr>
        <w:t>Internal and external stakeholders – peer, expert, or external stakeholders</w:t>
      </w:r>
      <w:r w:rsidR="00543774">
        <w:rPr>
          <w:sz w:val="24"/>
          <w:szCs w:val="24"/>
        </w:rPr>
        <w:t>'</w:t>
      </w:r>
      <w:r w:rsidRPr="007F3230">
        <w:rPr>
          <w:sz w:val="24"/>
          <w:szCs w:val="24"/>
        </w:rPr>
        <w:t xml:space="preserve"> direct or indirect reviews, assessments, or observations of teaching and learning practices. </w:t>
      </w:r>
    </w:p>
    <w:p w14:paraId="2E462D35" w14:textId="657C4638" w:rsidR="00CA07E5" w:rsidRPr="007F3230" w:rsidRDefault="00CA07E5" w:rsidP="00CA07E5">
      <w:pPr>
        <w:pStyle w:val="NoSpacing"/>
        <w:spacing w:before="120" w:after="120"/>
        <w:rPr>
          <w:sz w:val="24"/>
          <w:szCs w:val="24"/>
        </w:rPr>
      </w:pPr>
      <w:r w:rsidRPr="008B62F6">
        <w:rPr>
          <w:b/>
          <w:bCs/>
          <w:i/>
          <w:iCs/>
          <w:sz w:val="24"/>
          <w:szCs w:val="24"/>
        </w:rPr>
        <w:t>Important Note</w:t>
      </w:r>
      <w:r>
        <w:rPr>
          <w:sz w:val="24"/>
          <w:szCs w:val="24"/>
        </w:rPr>
        <w:t xml:space="preserve">: Although multiple sources of evidence are ideal, academic units (departments/schools or colleges) should establish common standards of practice for the number and variety of sources of evidence expected. </w:t>
      </w:r>
      <w:r w:rsidR="004E77C0">
        <w:rPr>
          <w:sz w:val="24"/>
          <w:szCs w:val="24"/>
        </w:rPr>
        <w:t>Typically</w:t>
      </w:r>
      <w:r>
        <w:rPr>
          <w:sz w:val="24"/>
          <w:szCs w:val="24"/>
        </w:rPr>
        <w:t xml:space="preserve">, academic units </w:t>
      </w:r>
      <w:r w:rsidR="004E77C0">
        <w:rPr>
          <w:sz w:val="24"/>
          <w:szCs w:val="24"/>
        </w:rPr>
        <w:t>sh</w:t>
      </w:r>
      <w:r>
        <w:rPr>
          <w:sz w:val="24"/>
          <w:szCs w:val="24"/>
        </w:rPr>
        <w:t xml:space="preserve">ould not </w:t>
      </w:r>
      <w:r w:rsidR="004E77C0">
        <w:rPr>
          <w:sz w:val="24"/>
          <w:szCs w:val="24"/>
        </w:rPr>
        <w:t>expect</w:t>
      </w:r>
      <w:r>
        <w:rPr>
          <w:sz w:val="24"/>
          <w:szCs w:val="24"/>
        </w:rPr>
        <w:t xml:space="preserve"> evidence from all possible sources</w:t>
      </w:r>
      <w:r w:rsidR="004E77C0">
        <w:rPr>
          <w:sz w:val="24"/>
          <w:szCs w:val="24"/>
        </w:rPr>
        <w:t>. I</w:t>
      </w:r>
      <w:r>
        <w:rPr>
          <w:sz w:val="24"/>
          <w:szCs w:val="24"/>
        </w:rPr>
        <w:t xml:space="preserve">nstead, </w:t>
      </w:r>
      <w:r w:rsidR="004E77C0">
        <w:rPr>
          <w:sz w:val="24"/>
          <w:szCs w:val="24"/>
        </w:rPr>
        <w:t xml:space="preserve">academic units should </w:t>
      </w:r>
      <w:r>
        <w:rPr>
          <w:sz w:val="24"/>
          <w:szCs w:val="24"/>
        </w:rPr>
        <w:t>identify two or three sources that best fit evaluation criteria and disciplin</w:t>
      </w:r>
      <w:r w:rsidR="004E77C0">
        <w:rPr>
          <w:sz w:val="24"/>
          <w:szCs w:val="24"/>
        </w:rPr>
        <w:t>e</w:t>
      </w:r>
      <w:r>
        <w:rPr>
          <w:sz w:val="24"/>
          <w:szCs w:val="24"/>
        </w:rPr>
        <w:t xml:space="preserve"> norms.</w:t>
      </w:r>
    </w:p>
    <w:p w14:paraId="44D28D35" w14:textId="6F16836D" w:rsidR="00AE50B9" w:rsidRPr="00F32BD6" w:rsidRDefault="00871711" w:rsidP="00D5187A">
      <w:pPr>
        <w:pStyle w:val="Heading2"/>
        <w:spacing w:line="240" w:lineRule="auto"/>
      </w:pPr>
      <w:r>
        <w:t xml:space="preserve">Types of </w:t>
      </w:r>
      <w:r w:rsidR="004F0257">
        <w:t>E</w:t>
      </w:r>
      <w:r w:rsidR="009763E3">
        <w:t>vidence</w:t>
      </w:r>
    </w:p>
    <w:p w14:paraId="2D52BB65" w14:textId="77777777" w:rsidR="00391211" w:rsidRDefault="00391211" w:rsidP="00391211">
      <w:pPr>
        <w:spacing w:after="0" w:line="240" w:lineRule="auto"/>
      </w:pPr>
    </w:p>
    <w:p w14:paraId="157BA291" w14:textId="3F0B75BA" w:rsidR="00BB53E3" w:rsidRPr="007F3230" w:rsidRDefault="00391211" w:rsidP="00391211">
      <w:pPr>
        <w:spacing w:after="0" w:line="240" w:lineRule="auto"/>
        <w:rPr>
          <w:sz w:val="24"/>
          <w:szCs w:val="24"/>
        </w:rPr>
      </w:pPr>
      <w:r w:rsidRPr="007F3230">
        <w:rPr>
          <w:sz w:val="24"/>
          <w:szCs w:val="24"/>
        </w:rPr>
        <w:t xml:space="preserve">Depending on the focus and criteria for the peer evaluation of teaching, quality and quantity of evidence expected should fit the context, discipline, and expectations in which teaching excellence is being evaluated. Ideally, a variety of evidence is provided in order to minimize common method bias. </w:t>
      </w:r>
      <w:r w:rsidR="00BB53E3" w:rsidRPr="007F3230">
        <w:rPr>
          <w:sz w:val="24"/>
          <w:szCs w:val="24"/>
        </w:rPr>
        <w:t>The Table provides example evidence by criterion.</w:t>
      </w:r>
    </w:p>
    <w:p w14:paraId="0EFF66B6" w14:textId="77777777" w:rsidR="00391211" w:rsidRPr="007F3230" w:rsidRDefault="00391211" w:rsidP="00391211">
      <w:pPr>
        <w:spacing w:after="0" w:line="240" w:lineRule="auto"/>
        <w:rPr>
          <w:sz w:val="24"/>
          <w:szCs w:val="24"/>
        </w:rPr>
      </w:pPr>
    </w:p>
    <w:p w14:paraId="07084BDE" w14:textId="35B02CF6" w:rsidR="00391211" w:rsidRPr="007F3230" w:rsidRDefault="00391211" w:rsidP="008B62F6">
      <w:pPr>
        <w:spacing w:after="0" w:line="240" w:lineRule="auto"/>
        <w:rPr>
          <w:sz w:val="24"/>
          <w:szCs w:val="24"/>
        </w:rPr>
      </w:pPr>
      <w:r w:rsidRPr="008B62F6">
        <w:rPr>
          <w:b/>
          <w:bCs/>
          <w:i/>
          <w:iCs/>
          <w:sz w:val="24"/>
          <w:szCs w:val="24"/>
        </w:rPr>
        <w:t>Important Note</w:t>
      </w:r>
      <w:r w:rsidRPr="007F3230">
        <w:rPr>
          <w:sz w:val="24"/>
          <w:szCs w:val="24"/>
        </w:rPr>
        <w:t xml:space="preserve">: The evidence examples provided are NOT intended to be a checklist of evidence necessary to complete a peer evaluation of teaching. Instead, they only are offered </w:t>
      </w:r>
      <w:r w:rsidR="00E446CB" w:rsidRPr="007F3230">
        <w:rPr>
          <w:sz w:val="24"/>
          <w:szCs w:val="24"/>
        </w:rPr>
        <w:t>as a non-exhaustive list of examples</w:t>
      </w:r>
      <w:r w:rsidRPr="007F3230">
        <w:rPr>
          <w:sz w:val="24"/>
          <w:szCs w:val="24"/>
        </w:rPr>
        <w:t>. Expectations for the quality and quantity should be clearly communicated to all participants from the authorizing academic unit responsible for conducting the peer evaluation of teaching.</w:t>
      </w:r>
    </w:p>
    <w:p w14:paraId="5634E6BC" w14:textId="77777777" w:rsidR="00391211" w:rsidRPr="00391211" w:rsidRDefault="00391211" w:rsidP="00391211">
      <w:pPr>
        <w:spacing w:after="0" w:line="240" w:lineRule="auto"/>
        <w:ind w:left="720"/>
        <w:rPr>
          <w:color w:val="0070C0"/>
        </w:rPr>
      </w:pPr>
    </w:p>
    <w:p w14:paraId="04C5BFD2" w14:textId="5D4C4E91" w:rsidR="00BB53E3" w:rsidRPr="007F3230" w:rsidRDefault="00BB53E3" w:rsidP="00D5187A">
      <w:pPr>
        <w:spacing w:line="240" w:lineRule="auto"/>
        <w:jc w:val="center"/>
        <w:rPr>
          <w:b/>
          <w:bCs/>
          <w:sz w:val="24"/>
          <w:szCs w:val="24"/>
        </w:rPr>
      </w:pPr>
      <w:r w:rsidRPr="007F3230">
        <w:rPr>
          <w:b/>
          <w:bCs/>
          <w:sz w:val="24"/>
          <w:szCs w:val="24"/>
        </w:rPr>
        <w:t>Table: Example Evidence</w:t>
      </w:r>
      <w:r w:rsidR="00E446CB" w:rsidRPr="007F3230">
        <w:rPr>
          <w:b/>
          <w:bCs/>
          <w:sz w:val="24"/>
          <w:szCs w:val="24"/>
        </w:rPr>
        <w:t xml:space="preserve"> by Teaching Excellence Criterion</w:t>
      </w:r>
    </w:p>
    <w:tbl>
      <w:tblPr>
        <w:tblStyle w:val="PlainTable1"/>
        <w:tblW w:w="0" w:type="auto"/>
        <w:tblLook w:val="04A0" w:firstRow="1" w:lastRow="0" w:firstColumn="1" w:lastColumn="0" w:noHBand="0" w:noVBand="1"/>
      </w:tblPr>
      <w:tblGrid>
        <w:gridCol w:w="1525"/>
        <w:gridCol w:w="7825"/>
      </w:tblGrid>
      <w:tr w:rsidR="00BB53E3" w:rsidRPr="007F3230" w14:paraId="603E9406" w14:textId="77777777" w:rsidTr="00C626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hideMark/>
          </w:tcPr>
          <w:p w14:paraId="3500EAA3" w14:textId="1AD5EE69" w:rsidR="00BB53E3" w:rsidRPr="007F3230" w:rsidRDefault="00BB53E3" w:rsidP="00D5187A">
            <w:pPr>
              <w:rPr>
                <w:rFonts w:cstheme="minorHAnsi"/>
                <w:sz w:val="24"/>
                <w:szCs w:val="24"/>
              </w:rPr>
            </w:pPr>
            <w:r w:rsidRPr="007F3230">
              <w:rPr>
                <w:rFonts w:cstheme="minorHAnsi"/>
                <w:sz w:val="24"/>
                <w:szCs w:val="24"/>
              </w:rPr>
              <w:t>Criterion</w:t>
            </w:r>
          </w:p>
        </w:tc>
        <w:tc>
          <w:tcPr>
            <w:tcW w:w="7825" w:type="dxa"/>
            <w:hideMark/>
          </w:tcPr>
          <w:p w14:paraId="7F364694" w14:textId="77777777" w:rsidR="00BB53E3" w:rsidRPr="007F3230" w:rsidRDefault="00BB53E3" w:rsidP="00D5187A">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7F3230">
              <w:rPr>
                <w:rFonts w:cstheme="minorHAnsi"/>
                <w:sz w:val="24"/>
                <w:szCs w:val="24"/>
              </w:rPr>
              <w:t>Example Evidence</w:t>
            </w:r>
          </w:p>
        </w:tc>
      </w:tr>
      <w:tr w:rsidR="00892B48" w:rsidRPr="007F3230" w14:paraId="5F553BD7" w14:textId="77777777" w:rsidTr="00C626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hideMark/>
          </w:tcPr>
          <w:p w14:paraId="5BC1988C" w14:textId="3CD3B6AA" w:rsidR="00BB53E3" w:rsidRPr="007F3230" w:rsidRDefault="00BB53E3" w:rsidP="00D5187A">
            <w:pPr>
              <w:rPr>
                <w:rFonts w:cstheme="minorHAnsi"/>
                <w:b w:val="0"/>
                <w:bCs w:val="0"/>
                <w:sz w:val="24"/>
                <w:szCs w:val="24"/>
              </w:rPr>
            </w:pPr>
            <w:r w:rsidRPr="007F3230">
              <w:rPr>
                <w:rFonts w:cstheme="minorHAnsi"/>
                <w:b w:val="0"/>
                <w:bCs w:val="0"/>
                <w:sz w:val="24"/>
                <w:szCs w:val="24"/>
              </w:rPr>
              <w:t>Preparation</w:t>
            </w:r>
          </w:p>
        </w:tc>
        <w:tc>
          <w:tcPr>
            <w:tcW w:w="7825" w:type="dxa"/>
            <w:hideMark/>
          </w:tcPr>
          <w:p w14:paraId="2A62B409" w14:textId="77777777" w:rsidR="00BB53E3" w:rsidRPr="007F3230" w:rsidRDefault="00BB53E3" w:rsidP="008A17F1">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F3230">
              <w:rPr>
                <w:rFonts w:cstheme="minorHAnsi"/>
                <w:i/>
                <w:iCs/>
                <w:sz w:val="24"/>
                <w:szCs w:val="24"/>
              </w:rPr>
              <w:t>Course Materials</w:t>
            </w:r>
            <w:r w:rsidRPr="007F3230">
              <w:rPr>
                <w:rFonts w:cstheme="minorHAnsi"/>
                <w:sz w:val="24"/>
                <w:szCs w:val="24"/>
              </w:rPr>
              <w:t>: Syllabi, schedules, assignment descriptions, grading rubrics</w:t>
            </w:r>
          </w:p>
          <w:p w14:paraId="59091264" w14:textId="50C1E665" w:rsidR="00BB53E3" w:rsidRPr="007F3230" w:rsidRDefault="00BB53E3" w:rsidP="008A17F1">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F3230">
              <w:rPr>
                <w:rFonts w:cstheme="minorHAnsi"/>
                <w:i/>
                <w:iCs/>
                <w:sz w:val="24"/>
                <w:szCs w:val="24"/>
              </w:rPr>
              <w:t>Teaching Philosophy</w:t>
            </w:r>
            <w:r w:rsidRPr="007F3230">
              <w:rPr>
                <w:rFonts w:cstheme="minorHAnsi"/>
                <w:sz w:val="24"/>
                <w:szCs w:val="24"/>
              </w:rPr>
              <w:t xml:space="preserve">: </w:t>
            </w:r>
            <w:r w:rsidR="00E446CB" w:rsidRPr="007F3230">
              <w:rPr>
                <w:rFonts w:cstheme="minorHAnsi"/>
                <w:sz w:val="24"/>
                <w:szCs w:val="24"/>
              </w:rPr>
              <w:t>Self-r</w:t>
            </w:r>
            <w:r w:rsidRPr="007F3230">
              <w:rPr>
                <w:rFonts w:cstheme="minorHAnsi"/>
                <w:sz w:val="24"/>
                <w:szCs w:val="24"/>
              </w:rPr>
              <w:t>eflections on pedagogical approach, alignment with disciplinary standards</w:t>
            </w:r>
          </w:p>
          <w:p w14:paraId="2015E94B" w14:textId="22564022" w:rsidR="00BB53E3" w:rsidRPr="007F3230" w:rsidRDefault="00BB53E3" w:rsidP="008A17F1">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F3230">
              <w:rPr>
                <w:rFonts w:cstheme="minorHAnsi"/>
                <w:i/>
                <w:iCs/>
                <w:sz w:val="24"/>
                <w:szCs w:val="24"/>
              </w:rPr>
              <w:lastRenderedPageBreak/>
              <w:t>Curriculum Development</w:t>
            </w:r>
            <w:r w:rsidRPr="007F3230">
              <w:rPr>
                <w:rFonts w:cstheme="minorHAnsi"/>
                <w:sz w:val="24"/>
                <w:szCs w:val="24"/>
              </w:rPr>
              <w:t xml:space="preserve">: </w:t>
            </w:r>
            <w:r w:rsidR="00E446CB" w:rsidRPr="007F3230">
              <w:rPr>
                <w:rFonts w:cstheme="minorHAnsi"/>
                <w:sz w:val="24"/>
                <w:szCs w:val="24"/>
              </w:rPr>
              <w:t>Self-assessment narratives or peer assessments of c</w:t>
            </w:r>
            <w:r w:rsidRPr="007F3230">
              <w:rPr>
                <w:rFonts w:cstheme="minorHAnsi"/>
                <w:sz w:val="24"/>
                <w:szCs w:val="24"/>
              </w:rPr>
              <w:t>ontributions to course/program design</w:t>
            </w:r>
          </w:p>
          <w:p w14:paraId="70C81256" w14:textId="77777777" w:rsidR="00BB53E3" w:rsidRPr="007F3230" w:rsidRDefault="00BB53E3" w:rsidP="008A17F1">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F3230">
              <w:rPr>
                <w:rFonts w:cstheme="minorHAnsi"/>
                <w:i/>
                <w:iCs/>
                <w:sz w:val="24"/>
                <w:szCs w:val="24"/>
              </w:rPr>
              <w:t>Peer</w:t>
            </w:r>
            <w:r w:rsidR="00292212" w:rsidRPr="007F3230">
              <w:rPr>
                <w:rFonts w:cstheme="minorHAnsi"/>
                <w:i/>
                <w:iCs/>
                <w:sz w:val="24"/>
                <w:szCs w:val="24"/>
              </w:rPr>
              <w:t>/Expert</w:t>
            </w:r>
            <w:r w:rsidRPr="007F3230">
              <w:rPr>
                <w:rFonts w:cstheme="minorHAnsi"/>
                <w:i/>
                <w:iCs/>
                <w:sz w:val="24"/>
                <w:szCs w:val="24"/>
              </w:rPr>
              <w:t xml:space="preserve"> </w:t>
            </w:r>
            <w:r w:rsidR="00E446CB" w:rsidRPr="007F3230">
              <w:rPr>
                <w:rFonts w:cstheme="minorHAnsi"/>
                <w:i/>
                <w:iCs/>
                <w:sz w:val="24"/>
                <w:szCs w:val="24"/>
              </w:rPr>
              <w:t>Review</w:t>
            </w:r>
            <w:r w:rsidRPr="007F3230">
              <w:rPr>
                <w:rFonts w:cstheme="minorHAnsi"/>
                <w:sz w:val="24"/>
                <w:szCs w:val="24"/>
              </w:rPr>
              <w:t xml:space="preserve">: </w:t>
            </w:r>
            <w:r w:rsidR="00E446CB" w:rsidRPr="007F3230">
              <w:rPr>
                <w:rFonts w:cstheme="minorHAnsi"/>
                <w:sz w:val="24"/>
                <w:szCs w:val="24"/>
              </w:rPr>
              <w:t>Reviewer</w:t>
            </w:r>
            <w:r w:rsidRPr="007F3230">
              <w:rPr>
                <w:rFonts w:cstheme="minorHAnsi"/>
                <w:sz w:val="24"/>
                <w:szCs w:val="24"/>
              </w:rPr>
              <w:t xml:space="preserve"> feedback on clarity, structure, and alignment of course materials</w:t>
            </w:r>
          </w:p>
          <w:p w14:paraId="2D06220E" w14:textId="38671C79" w:rsidR="0083716C" w:rsidRPr="007F3230" w:rsidRDefault="0083716C" w:rsidP="008A17F1">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F3230">
              <w:rPr>
                <w:rFonts w:cstheme="minorHAnsi"/>
                <w:i/>
                <w:iCs/>
                <w:sz w:val="24"/>
                <w:szCs w:val="24"/>
              </w:rPr>
              <w:t>Professional Activities</w:t>
            </w:r>
            <w:r w:rsidRPr="007F3230">
              <w:rPr>
                <w:rFonts w:cstheme="minorHAnsi"/>
                <w:sz w:val="24"/>
                <w:szCs w:val="24"/>
              </w:rPr>
              <w:t xml:space="preserve">: Participation in </w:t>
            </w:r>
            <w:r w:rsidR="00EA2C02" w:rsidRPr="007F3230">
              <w:rPr>
                <w:rFonts w:cstheme="minorHAnsi"/>
                <w:sz w:val="24"/>
                <w:szCs w:val="24"/>
              </w:rPr>
              <w:t>programs or workshops</w:t>
            </w:r>
            <w:r w:rsidRPr="007F3230">
              <w:rPr>
                <w:rFonts w:cstheme="minorHAnsi"/>
                <w:sz w:val="24"/>
                <w:szCs w:val="24"/>
              </w:rPr>
              <w:t xml:space="preserve"> focused on preparation</w:t>
            </w:r>
          </w:p>
        </w:tc>
      </w:tr>
      <w:tr w:rsidR="00BB53E3" w:rsidRPr="007F3230" w14:paraId="6A5075FF" w14:textId="77777777" w:rsidTr="00C626B4">
        <w:tc>
          <w:tcPr>
            <w:cnfStyle w:val="001000000000" w:firstRow="0" w:lastRow="0" w:firstColumn="1" w:lastColumn="0" w:oddVBand="0" w:evenVBand="0" w:oddHBand="0" w:evenHBand="0" w:firstRowFirstColumn="0" w:firstRowLastColumn="0" w:lastRowFirstColumn="0" w:lastRowLastColumn="0"/>
            <w:tcW w:w="1525" w:type="dxa"/>
            <w:hideMark/>
          </w:tcPr>
          <w:p w14:paraId="63E58F41" w14:textId="3B92821A" w:rsidR="00BB53E3" w:rsidRPr="007F3230" w:rsidRDefault="00BB53E3" w:rsidP="00D5187A">
            <w:pPr>
              <w:rPr>
                <w:rFonts w:cstheme="minorHAnsi"/>
                <w:b w:val="0"/>
                <w:bCs w:val="0"/>
                <w:sz w:val="24"/>
                <w:szCs w:val="24"/>
              </w:rPr>
            </w:pPr>
            <w:r w:rsidRPr="007F3230">
              <w:rPr>
                <w:rFonts w:cstheme="minorHAnsi"/>
                <w:b w:val="0"/>
                <w:bCs w:val="0"/>
                <w:sz w:val="24"/>
                <w:szCs w:val="24"/>
              </w:rPr>
              <w:lastRenderedPageBreak/>
              <w:t>Engagement</w:t>
            </w:r>
          </w:p>
        </w:tc>
        <w:tc>
          <w:tcPr>
            <w:tcW w:w="7825" w:type="dxa"/>
            <w:hideMark/>
          </w:tcPr>
          <w:p w14:paraId="5A8ACECF" w14:textId="77777777" w:rsidR="00BB53E3" w:rsidRPr="007F3230" w:rsidRDefault="00BB53E3" w:rsidP="008A17F1">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F3230">
              <w:rPr>
                <w:rFonts w:cstheme="minorHAnsi"/>
                <w:i/>
                <w:iCs/>
                <w:sz w:val="24"/>
                <w:szCs w:val="24"/>
              </w:rPr>
              <w:t>Learning Activities</w:t>
            </w:r>
            <w:r w:rsidRPr="007F3230">
              <w:rPr>
                <w:rFonts w:cstheme="minorHAnsi"/>
                <w:sz w:val="24"/>
                <w:szCs w:val="24"/>
              </w:rPr>
              <w:t>: Examples of in-class or online discussions, case studies, group work</w:t>
            </w:r>
          </w:p>
          <w:p w14:paraId="75FB46A3" w14:textId="5F5172F9" w:rsidR="00BB53E3" w:rsidRPr="007F3230" w:rsidRDefault="00BB53E3" w:rsidP="008A17F1">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F3230">
              <w:rPr>
                <w:rFonts w:cstheme="minorHAnsi"/>
                <w:i/>
                <w:iCs/>
                <w:sz w:val="24"/>
                <w:szCs w:val="24"/>
              </w:rPr>
              <w:t>Student Evaluations</w:t>
            </w:r>
            <w:r w:rsidRPr="007F3230">
              <w:rPr>
                <w:rFonts w:cstheme="minorHAnsi"/>
                <w:sz w:val="24"/>
                <w:szCs w:val="24"/>
              </w:rPr>
              <w:t xml:space="preserve">: Feedback on instructor </w:t>
            </w:r>
            <w:r w:rsidR="00E446CB" w:rsidRPr="007F3230">
              <w:rPr>
                <w:rFonts w:cstheme="minorHAnsi"/>
                <w:sz w:val="24"/>
                <w:szCs w:val="24"/>
              </w:rPr>
              <w:t>engagement with students</w:t>
            </w:r>
          </w:p>
          <w:p w14:paraId="363BD44C" w14:textId="2BD51EE2" w:rsidR="00BB53E3" w:rsidRPr="007F3230" w:rsidRDefault="00BB53E3" w:rsidP="008A17F1">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F3230">
              <w:rPr>
                <w:rFonts w:cstheme="minorHAnsi"/>
                <w:i/>
                <w:iCs/>
                <w:sz w:val="24"/>
                <w:szCs w:val="24"/>
              </w:rPr>
              <w:t>Peer</w:t>
            </w:r>
            <w:r w:rsidR="00E446CB" w:rsidRPr="007F3230">
              <w:rPr>
                <w:rFonts w:cstheme="minorHAnsi"/>
                <w:i/>
                <w:iCs/>
                <w:sz w:val="24"/>
                <w:szCs w:val="24"/>
              </w:rPr>
              <w:t xml:space="preserve">/Expert </w:t>
            </w:r>
            <w:r w:rsidRPr="007F3230">
              <w:rPr>
                <w:rFonts w:cstheme="minorHAnsi"/>
                <w:i/>
                <w:iCs/>
                <w:sz w:val="24"/>
                <w:szCs w:val="24"/>
              </w:rPr>
              <w:t>Observation</w:t>
            </w:r>
            <w:r w:rsidRPr="007F3230">
              <w:rPr>
                <w:rFonts w:cstheme="minorHAnsi"/>
                <w:sz w:val="24"/>
                <w:szCs w:val="24"/>
              </w:rPr>
              <w:t xml:space="preserve">: Notes </w:t>
            </w:r>
            <w:r w:rsidR="00E446CB" w:rsidRPr="007F3230">
              <w:rPr>
                <w:rFonts w:cstheme="minorHAnsi"/>
                <w:sz w:val="24"/>
                <w:szCs w:val="24"/>
              </w:rPr>
              <w:t>about</w:t>
            </w:r>
            <w:r w:rsidRPr="007F3230">
              <w:rPr>
                <w:rFonts w:cstheme="minorHAnsi"/>
                <w:sz w:val="24"/>
                <w:szCs w:val="24"/>
              </w:rPr>
              <w:t xml:space="preserve"> student interaction</w:t>
            </w:r>
            <w:r w:rsidR="00292212" w:rsidRPr="007F3230">
              <w:rPr>
                <w:rFonts w:cstheme="minorHAnsi"/>
                <w:sz w:val="24"/>
                <w:szCs w:val="24"/>
              </w:rPr>
              <w:t xml:space="preserve"> and </w:t>
            </w:r>
            <w:r w:rsidRPr="007F3230">
              <w:rPr>
                <w:rFonts w:cstheme="minorHAnsi"/>
                <w:sz w:val="24"/>
                <w:szCs w:val="24"/>
              </w:rPr>
              <w:t>engagement techniques</w:t>
            </w:r>
          </w:p>
          <w:p w14:paraId="2DFBFFEA" w14:textId="77777777" w:rsidR="00BB53E3" w:rsidRPr="007F3230" w:rsidRDefault="00BB53E3" w:rsidP="008A17F1">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F3230">
              <w:rPr>
                <w:rFonts w:cstheme="minorHAnsi"/>
                <w:i/>
                <w:iCs/>
                <w:sz w:val="24"/>
                <w:szCs w:val="24"/>
              </w:rPr>
              <w:t>Recognition</w:t>
            </w:r>
            <w:r w:rsidRPr="007F3230">
              <w:rPr>
                <w:rFonts w:cstheme="minorHAnsi"/>
                <w:sz w:val="24"/>
                <w:szCs w:val="24"/>
              </w:rPr>
              <w:t>: Teaching awards related to classroom engagement</w:t>
            </w:r>
          </w:p>
          <w:p w14:paraId="78B59CE2" w14:textId="3B3C0C5C" w:rsidR="0083716C" w:rsidRPr="007F3230" w:rsidRDefault="0083716C" w:rsidP="008A17F1">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F3230">
              <w:rPr>
                <w:rFonts w:cstheme="minorHAnsi"/>
                <w:i/>
                <w:iCs/>
                <w:sz w:val="24"/>
                <w:szCs w:val="24"/>
              </w:rPr>
              <w:t>Professional Activities</w:t>
            </w:r>
            <w:r w:rsidRPr="007F3230">
              <w:rPr>
                <w:rFonts w:cstheme="minorHAnsi"/>
                <w:sz w:val="24"/>
                <w:szCs w:val="24"/>
              </w:rPr>
              <w:t>: Participation in</w:t>
            </w:r>
            <w:r w:rsidR="00EA2C02" w:rsidRPr="007F3230">
              <w:rPr>
                <w:rFonts w:cstheme="minorHAnsi"/>
                <w:sz w:val="24"/>
                <w:szCs w:val="24"/>
              </w:rPr>
              <w:t xml:space="preserve"> programs or</w:t>
            </w:r>
            <w:r w:rsidRPr="007F3230">
              <w:rPr>
                <w:rFonts w:cstheme="minorHAnsi"/>
                <w:sz w:val="24"/>
                <w:szCs w:val="24"/>
              </w:rPr>
              <w:t xml:space="preserve"> </w:t>
            </w:r>
            <w:r w:rsidR="00EA2C02" w:rsidRPr="007F3230">
              <w:rPr>
                <w:rFonts w:cstheme="minorHAnsi"/>
                <w:sz w:val="24"/>
                <w:szCs w:val="24"/>
              </w:rPr>
              <w:t>workshops</w:t>
            </w:r>
            <w:r w:rsidRPr="007F3230">
              <w:rPr>
                <w:rFonts w:cstheme="minorHAnsi"/>
                <w:sz w:val="24"/>
                <w:szCs w:val="24"/>
              </w:rPr>
              <w:t xml:space="preserve"> focused on engaging teaching methods and best practices</w:t>
            </w:r>
          </w:p>
        </w:tc>
      </w:tr>
      <w:tr w:rsidR="00C626B4" w:rsidRPr="007F3230" w14:paraId="7E4DF82C" w14:textId="77777777" w:rsidTr="00C626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hideMark/>
          </w:tcPr>
          <w:p w14:paraId="2BCBA70F" w14:textId="7E95F384" w:rsidR="00BB53E3" w:rsidRPr="007F3230" w:rsidRDefault="00BB53E3" w:rsidP="00D5187A">
            <w:pPr>
              <w:rPr>
                <w:rFonts w:cstheme="minorHAnsi"/>
                <w:b w:val="0"/>
                <w:bCs w:val="0"/>
                <w:sz w:val="24"/>
                <w:szCs w:val="24"/>
              </w:rPr>
            </w:pPr>
            <w:r w:rsidRPr="007F3230">
              <w:rPr>
                <w:rFonts w:cstheme="minorHAnsi"/>
                <w:b w:val="0"/>
                <w:bCs w:val="0"/>
                <w:sz w:val="24"/>
                <w:szCs w:val="24"/>
              </w:rPr>
              <w:t>Inclusion</w:t>
            </w:r>
          </w:p>
        </w:tc>
        <w:tc>
          <w:tcPr>
            <w:tcW w:w="7825" w:type="dxa"/>
            <w:hideMark/>
          </w:tcPr>
          <w:p w14:paraId="3F601E09" w14:textId="6DB259B3" w:rsidR="00C626B4" w:rsidRPr="007F3230" w:rsidRDefault="00E446CB" w:rsidP="008A17F1">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F3230">
              <w:rPr>
                <w:rFonts w:cstheme="minorHAnsi"/>
                <w:i/>
                <w:iCs/>
                <w:sz w:val="24"/>
                <w:szCs w:val="24"/>
              </w:rPr>
              <w:t>Course Materials</w:t>
            </w:r>
            <w:r w:rsidR="00BB53E3" w:rsidRPr="007F3230">
              <w:rPr>
                <w:rFonts w:cstheme="minorHAnsi"/>
                <w:sz w:val="24"/>
                <w:szCs w:val="24"/>
              </w:rPr>
              <w:t>: Use of diverse perspectives, accessible materials, and inclusive language</w:t>
            </w:r>
          </w:p>
          <w:p w14:paraId="5F2F9B40" w14:textId="2C6BAD07" w:rsidR="00C626B4" w:rsidRPr="007F3230" w:rsidRDefault="00BB53E3" w:rsidP="008A17F1">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F3230">
              <w:rPr>
                <w:rFonts w:cstheme="minorHAnsi"/>
                <w:i/>
                <w:iCs/>
                <w:sz w:val="24"/>
                <w:szCs w:val="24"/>
              </w:rPr>
              <w:t xml:space="preserve">Student </w:t>
            </w:r>
            <w:r w:rsidR="00292212" w:rsidRPr="007F3230">
              <w:rPr>
                <w:rFonts w:cstheme="minorHAnsi"/>
                <w:i/>
                <w:iCs/>
                <w:sz w:val="24"/>
                <w:szCs w:val="24"/>
              </w:rPr>
              <w:t>Evaluations</w:t>
            </w:r>
            <w:r w:rsidR="00292212" w:rsidRPr="007F3230">
              <w:rPr>
                <w:rFonts w:cstheme="minorHAnsi"/>
                <w:sz w:val="24"/>
                <w:szCs w:val="24"/>
              </w:rPr>
              <w:t>: Feedback about classroom c</w:t>
            </w:r>
            <w:r w:rsidRPr="007F3230">
              <w:rPr>
                <w:rFonts w:cstheme="minorHAnsi"/>
                <w:sz w:val="24"/>
                <w:szCs w:val="24"/>
              </w:rPr>
              <w:t>limate</w:t>
            </w:r>
            <w:r w:rsidR="00292212" w:rsidRPr="007F3230">
              <w:rPr>
                <w:rFonts w:cstheme="minorHAnsi"/>
                <w:sz w:val="24"/>
                <w:szCs w:val="24"/>
              </w:rPr>
              <w:t>, inclusion</w:t>
            </w:r>
          </w:p>
          <w:p w14:paraId="4B0F0278" w14:textId="51A3F077" w:rsidR="00292212" w:rsidRPr="007F3230" w:rsidRDefault="00292212" w:rsidP="008A17F1">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F3230">
              <w:rPr>
                <w:rFonts w:cstheme="minorHAnsi"/>
                <w:i/>
                <w:iCs/>
                <w:sz w:val="24"/>
                <w:szCs w:val="24"/>
              </w:rPr>
              <w:t>Peer/Expert Observation</w:t>
            </w:r>
            <w:r w:rsidRPr="007F3230">
              <w:rPr>
                <w:rFonts w:cstheme="minorHAnsi"/>
                <w:sz w:val="24"/>
                <w:szCs w:val="24"/>
              </w:rPr>
              <w:t>: Notes about classroom climate, inclusion practices</w:t>
            </w:r>
          </w:p>
          <w:p w14:paraId="4AB5781A" w14:textId="77777777" w:rsidR="00BB53E3" w:rsidRPr="007F3230" w:rsidRDefault="00BB53E3" w:rsidP="008A17F1">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F3230">
              <w:rPr>
                <w:rFonts w:cstheme="minorHAnsi"/>
                <w:i/>
                <w:iCs/>
                <w:sz w:val="24"/>
                <w:szCs w:val="24"/>
              </w:rPr>
              <w:t>Peer</w:t>
            </w:r>
            <w:r w:rsidR="00F70601" w:rsidRPr="007F3230">
              <w:rPr>
                <w:rFonts w:cstheme="minorHAnsi"/>
                <w:i/>
                <w:iCs/>
                <w:sz w:val="24"/>
                <w:szCs w:val="24"/>
              </w:rPr>
              <w:t>/Expert</w:t>
            </w:r>
            <w:r w:rsidRPr="007F3230">
              <w:rPr>
                <w:rFonts w:cstheme="minorHAnsi"/>
                <w:i/>
                <w:iCs/>
                <w:sz w:val="24"/>
                <w:szCs w:val="24"/>
              </w:rPr>
              <w:t xml:space="preserve"> </w:t>
            </w:r>
            <w:r w:rsidR="00292212" w:rsidRPr="007F3230">
              <w:rPr>
                <w:rFonts w:cstheme="minorHAnsi"/>
                <w:i/>
                <w:iCs/>
                <w:sz w:val="24"/>
                <w:szCs w:val="24"/>
              </w:rPr>
              <w:t>Assessment</w:t>
            </w:r>
            <w:r w:rsidRPr="007F3230">
              <w:rPr>
                <w:rFonts w:cstheme="minorHAnsi"/>
                <w:sz w:val="24"/>
                <w:szCs w:val="24"/>
              </w:rPr>
              <w:t>: Assessment of inclusivity in content and classroom environment</w:t>
            </w:r>
          </w:p>
          <w:p w14:paraId="3ED4A1BF" w14:textId="13FCA065" w:rsidR="0083716C" w:rsidRPr="007F3230" w:rsidRDefault="0083716C" w:rsidP="008A17F1">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F3230">
              <w:rPr>
                <w:rFonts w:cstheme="minorHAnsi"/>
                <w:i/>
                <w:iCs/>
                <w:sz w:val="24"/>
                <w:szCs w:val="24"/>
              </w:rPr>
              <w:t>Professional Activities</w:t>
            </w:r>
            <w:r w:rsidRPr="007F3230">
              <w:rPr>
                <w:rFonts w:cstheme="minorHAnsi"/>
                <w:sz w:val="24"/>
                <w:szCs w:val="24"/>
              </w:rPr>
              <w:t xml:space="preserve">: Participation in </w:t>
            </w:r>
            <w:r w:rsidR="00EA2C02" w:rsidRPr="007F3230">
              <w:rPr>
                <w:rFonts w:cstheme="minorHAnsi"/>
                <w:sz w:val="24"/>
                <w:szCs w:val="24"/>
              </w:rPr>
              <w:t xml:space="preserve">programs or </w:t>
            </w:r>
            <w:r w:rsidRPr="007F3230">
              <w:rPr>
                <w:rFonts w:cstheme="minorHAnsi"/>
                <w:sz w:val="24"/>
                <w:szCs w:val="24"/>
              </w:rPr>
              <w:t xml:space="preserve">workshops </w:t>
            </w:r>
            <w:r w:rsidR="00EA2C02" w:rsidRPr="007F3230">
              <w:rPr>
                <w:rFonts w:cstheme="minorHAnsi"/>
                <w:sz w:val="24"/>
                <w:szCs w:val="24"/>
              </w:rPr>
              <w:t xml:space="preserve">focused </w:t>
            </w:r>
            <w:r w:rsidRPr="007F3230">
              <w:rPr>
                <w:rFonts w:cstheme="minorHAnsi"/>
                <w:sz w:val="24"/>
                <w:szCs w:val="24"/>
              </w:rPr>
              <w:t xml:space="preserve">on </w:t>
            </w:r>
            <w:r w:rsidR="00EA2C02" w:rsidRPr="007F3230">
              <w:rPr>
                <w:rFonts w:cstheme="minorHAnsi"/>
                <w:sz w:val="24"/>
                <w:szCs w:val="24"/>
              </w:rPr>
              <w:t xml:space="preserve">inclusive </w:t>
            </w:r>
            <w:r w:rsidRPr="007F3230">
              <w:rPr>
                <w:rFonts w:cstheme="minorHAnsi"/>
                <w:sz w:val="24"/>
                <w:szCs w:val="24"/>
              </w:rPr>
              <w:t>or universal design</w:t>
            </w:r>
          </w:p>
        </w:tc>
      </w:tr>
      <w:tr w:rsidR="00BB53E3" w:rsidRPr="007F3230" w14:paraId="359E8001" w14:textId="77777777" w:rsidTr="00C626B4">
        <w:tc>
          <w:tcPr>
            <w:cnfStyle w:val="001000000000" w:firstRow="0" w:lastRow="0" w:firstColumn="1" w:lastColumn="0" w:oddVBand="0" w:evenVBand="0" w:oddHBand="0" w:evenHBand="0" w:firstRowFirstColumn="0" w:firstRowLastColumn="0" w:lastRowFirstColumn="0" w:lastRowLastColumn="0"/>
            <w:tcW w:w="1525" w:type="dxa"/>
            <w:hideMark/>
          </w:tcPr>
          <w:p w14:paraId="10369D62" w14:textId="59ABF827" w:rsidR="00BB53E3" w:rsidRPr="007F3230" w:rsidRDefault="00BB53E3" w:rsidP="00D5187A">
            <w:pPr>
              <w:rPr>
                <w:rFonts w:cstheme="minorHAnsi"/>
                <w:b w:val="0"/>
                <w:bCs w:val="0"/>
                <w:sz w:val="24"/>
                <w:szCs w:val="24"/>
              </w:rPr>
            </w:pPr>
            <w:r w:rsidRPr="007F3230">
              <w:rPr>
                <w:rFonts w:cstheme="minorHAnsi"/>
                <w:b w:val="0"/>
                <w:bCs w:val="0"/>
                <w:sz w:val="24"/>
                <w:szCs w:val="24"/>
              </w:rPr>
              <w:t>Subject Expertise</w:t>
            </w:r>
          </w:p>
        </w:tc>
        <w:tc>
          <w:tcPr>
            <w:tcW w:w="7825" w:type="dxa"/>
            <w:hideMark/>
          </w:tcPr>
          <w:p w14:paraId="18471E10" w14:textId="77777777" w:rsidR="00C626B4" w:rsidRPr="007F3230" w:rsidRDefault="00BB53E3" w:rsidP="008A17F1">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F3230">
              <w:rPr>
                <w:rFonts w:cstheme="minorHAnsi"/>
                <w:i/>
                <w:iCs/>
                <w:sz w:val="24"/>
                <w:szCs w:val="24"/>
              </w:rPr>
              <w:t>Course Materials</w:t>
            </w:r>
            <w:r w:rsidRPr="007F3230">
              <w:rPr>
                <w:rFonts w:cstheme="minorHAnsi"/>
                <w:sz w:val="24"/>
                <w:szCs w:val="24"/>
              </w:rPr>
              <w:t>: Alignment with current disciplinary knowledge and best practices</w:t>
            </w:r>
          </w:p>
          <w:p w14:paraId="492FB127" w14:textId="141869F4" w:rsidR="00C626B4" w:rsidRPr="007F3230" w:rsidRDefault="00BB53E3" w:rsidP="008A17F1">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F3230">
              <w:rPr>
                <w:rFonts w:cstheme="minorHAnsi"/>
                <w:i/>
                <w:iCs/>
                <w:sz w:val="24"/>
                <w:szCs w:val="24"/>
              </w:rPr>
              <w:t>Research</w:t>
            </w:r>
            <w:r w:rsidR="00292212" w:rsidRPr="007F3230">
              <w:rPr>
                <w:rFonts w:cstheme="minorHAnsi"/>
                <w:i/>
                <w:iCs/>
                <w:sz w:val="24"/>
                <w:szCs w:val="24"/>
              </w:rPr>
              <w:t xml:space="preserve">, Scholarship, and </w:t>
            </w:r>
            <w:r w:rsidRPr="007F3230">
              <w:rPr>
                <w:rFonts w:cstheme="minorHAnsi"/>
                <w:i/>
                <w:iCs/>
                <w:sz w:val="24"/>
                <w:szCs w:val="24"/>
              </w:rPr>
              <w:t>Creative Activity</w:t>
            </w:r>
            <w:r w:rsidRPr="007F3230">
              <w:rPr>
                <w:rFonts w:cstheme="minorHAnsi"/>
                <w:sz w:val="24"/>
                <w:szCs w:val="24"/>
              </w:rPr>
              <w:t xml:space="preserve">: </w:t>
            </w:r>
            <w:r w:rsidR="00292212" w:rsidRPr="007F3230">
              <w:rPr>
                <w:rFonts w:cstheme="minorHAnsi"/>
                <w:sz w:val="24"/>
                <w:szCs w:val="24"/>
              </w:rPr>
              <w:t>Intellectual contributions relevant to the course subject matter; i</w:t>
            </w:r>
            <w:r w:rsidRPr="007F3230">
              <w:rPr>
                <w:rFonts w:cstheme="minorHAnsi"/>
                <w:sz w:val="24"/>
                <w:szCs w:val="24"/>
              </w:rPr>
              <w:t>ntegration of current research into course content</w:t>
            </w:r>
          </w:p>
          <w:p w14:paraId="4F4F46AD" w14:textId="75B49899" w:rsidR="00C626B4" w:rsidRPr="007F3230" w:rsidRDefault="00BB53E3" w:rsidP="008A17F1">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F3230">
              <w:rPr>
                <w:rFonts w:cstheme="minorHAnsi"/>
                <w:i/>
                <w:iCs/>
                <w:sz w:val="24"/>
                <w:szCs w:val="24"/>
              </w:rPr>
              <w:t>Student Evaluations</w:t>
            </w:r>
            <w:r w:rsidRPr="007F3230">
              <w:rPr>
                <w:rFonts w:cstheme="minorHAnsi"/>
                <w:sz w:val="24"/>
                <w:szCs w:val="24"/>
              </w:rPr>
              <w:t>: Perceptions of instructor</w:t>
            </w:r>
            <w:r w:rsidR="00292212" w:rsidRPr="007F3230">
              <w:rPr>
                <w:rFonts w:cstheme="minorHAnsi"/>
                <w:sz w:val="24"/>
                <w:szCs w:val="24"/>
              </w:rPr>
              <w:t xml:space="preserve"> knowledge </w:t>
            </w:r>
            <w:r w:rsidRPr="007F3230">
              <w:rPr>
                <w:rFonts w:cstheme="minorHAnsi"/>
                <w:sz w:val="24"/>
                <w:szCs w:val="24"/>
              </w:rPr>
              <w:t>and credibility</w:t>
            </w:r>
          </w:p>
          <w:p w14:paraId="477E746A" w14:textId="77777777" w:rsidR="00BB53E3" w:rsidRPr="007F3230" w:rsidRDefault="00BB53E3" w:rsidP="008A17F1">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F3230">
              <w:rPr>
                <w:rFonts w:cstheme="minorHAnsi"/>
                <w:i/>
                <w:iCs/>
                <w:sz w:val="24"/>
                <w:szCs w:val="24"/>
              </w:rPr>
              <w:t>Peer</w:t>
            </w:r>
            <w:r w:rsidR="00F70601" w:rsidRPr="007F3230">
              <w:rPr>
                <w:rFonts w:cstheme="minorHAnsi"/>
                <w:i/>
                <w:iCs/>
                <w:sz w:val="24"/>
                <w:szCs w:val="24"/>
              </w:rPr>
              <w:t>/Expert</w:t>
            </w:r>
            <w:r w:rsidRPr="007F3230">
              <w:rPr>
                <w:rFonts w:cstheme="minorHAnsi"/>
                <w:i/>
                <w:iCs/>
                <w:sz w:val="24"/>
                <w:szCs w:val="24"/>
              </w:rPr>
              <w:t xml:space="preserve"> </w:t>
            </w:r>
            <w:r w:rsidR="00F70601" w:rsidRPr="007F3230">
              <w:rPr>
                <w:rFonts w:cstheme="minorHAnsi"/>
                <w:i/>
                <w:iCs/>
                <w:sz w:val="24"/>
                <w:szCs w:val="24"/>
              </w:rPr>
              <w:t>Assessment</w:t>
            </w:r>
            <w:r w:rsidRPr="007F3230">
              <w:rPr>
                <w:rFonts w:cstheme="minorHAnsi"/>
                <w:sz w:val="24"/>
                <w:szCs w:val="24"/>
              </w:rPr>
              <w:t xml:space="preserve">: </w:t>
            </w:r>
            <w:r w:rsidR="00292212" w:rsidRPr="007F3230">
              <w:rPr>
                <w:rFonts w:cstheme="minorHAnsi"/>
                <w:sz w:val="24"/>
                <w:szCs w:val="24"/>
              </w:rPr>
              <w:t xml:space="preserve">Assessment of course </w:t>
            </w:r>
            <w:r w:rsidRPr="007F3230">
              <w:rPr>
                <w:rFonts w:cstheme="minorHAnsi"/>
                <w:sz w:val="24"/>
                <w:szCs w:val="24"/>
              </w:rPr>
              <w:t>content depth, accuracy, and relevance</w:t>
            </w:r>
          </w:p>
          <w:p w14:paraId="1A407393" w14:textId="715C4A76" w:rsidR="0083716C" w:rsidRPr="007F3230" w:rsidRDefault="0083716C" w:rsidP="008A17F1">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F3230">
              <w:rPr>
                <w:rFonts w:cstheme="minorHAnsi"/>
                <w:i/>
                <w:iCs/>
                <w:sz w:val="24"/>
                <w:szCs w:val="24"/>
              </w:rPr>
              <w:t>Professional Activities</w:t>
            </w:r>
            <w:r w:rsidRPr="007F3230">
              <w:rPr>
                <w:rFonts w:cstheme="minorHAnsi"/>
                <w:sz w:val="24"/>
                <w:szCs w:val="24"/>
              </w:rPr>
              <w:t>: Participation in</w:t>
            </w:r>
            <w:r w:rsidR="00EA2C02" w:rsidRPr="007F3230">
              <w:rPr>
                <w:rFonts w:cstheme="minorHAnsi"/>
                <w:sz w:val="24"/>
                <w:szCs w:val="24"/>
              </w:rPr>
              <w:t xml:space="preserve"> programs or</w:t>
            </w:r>
            <w:r w:rsidRPr="007F3230">
              <w:rPr>
                <w:rFonts w:cstheme="minorHAnsi"/>
                <w:sz w:val="24"/>
                <w:szCs w:val="24"/>
              </w:rPr>
              <w:t xml:space="preserve"> workshops related to currency in subject areas directly related to courses taught </w:t>
            </w:r>
          </w:p>
        </w:tc>
      </w:tr>
      <w:tr w:rsidR="00C626B4" w:rsidRPr="007F3230" w14:paraId="7DBCB7EC" w14:textId="77777777" w:rsidTr="00C626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hideMark/>
          </w:tcPr>
          <w:p w14:paraId="1CA189A5" w14:textId="355BCAE8" w:rsidR="00BB53E3" w:rsidRPr="007F3230" w:rsidRDefault="00BB53E3" w:rsidP="00D5187A">
            <w:pPr>
              <w:rPr>
                <w:rFonts w:cstheme="minorHAnsi"/>
                <w:b w:val="0"/>
                <w:bCs w:val="0"/>
                <w:sz w:val="24"/>
                <w:szCs w:val="24"/>
              </w:rPr>
            </w:pPr>
            <w:r w:rsidRPr="007F3230">
              <w:rPr>
                <w:rFonts w:cstheme="minorHAnsi"/>
                <w:b w:val="0"/>
                <w:bCs w:val="0"/>
                <w:sz w:val="24"/>
                <w:szCs w:val="24"/>
              </w:rPr>
              <w:t>Pedagogical Competence</w:t>
            </w:r>
          </w:p>
        </w:tc>
        <w:tc>
          <w:tcPr>
            <w:tcW w:w="7825" w:type="dxa"/>
            <w:hideMark/>
          </w:tcPr>
          <w:p w14:paraId="0E252D77" w14:textId="77777777" w:rsidR="00C626B4" w:rsidRPr="007F3230" w:rsidRDefault="00BB53E3" w:rsidP="008A17F1">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F3230">
              <w:rPr>
                <w:rFonts w:cstheme="minorHAnsi"/>
                <w:i/>
                <w:iCs/>
                <w:sz w:val="24"/>
                <w:szCs w:val="24"/>
              </w:rPr>
              <w:t>Instructional Design</w:t>
            </w:r>
            <w:r w:rsidRPr="007F3230">
              <w:rPr>
                <w:rFonts w:cstheme="minorHAnsi"/>
                <w:sz w:val="24"/>
                <w:szCs w:val="24"/>
              </w:rPr>
              <w:t>: Evidence of intentional pedagogy, varied learning methods, and scaffolding</w:t>
            </w:r>
          </w:p>
          <w:p w14:paraId="01824275" w14:textId="61324E61" w:rsidR="00C626B4" w:rsidRPr="007F3230" w:rsidRDefault="00BB53E3" w:rsidP="008A17F1">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F3230">
              <w:rPr>
                <w:rFonts w:cstheme="minorHAnsi"/>
                <w:i/>
                <w:iCs/>
                <w:sz w:val="24"/>
                <w:szCs w:val="24"/>
              </w:rPr>
              <w:t>Peer</w:t>
            </w:r>
            <w:r w:rsidR="00F70601" w:rsidRPr="007F3230">
              <w:rPr>
                <w:rFonts w:cstheme="minorHAnsi"/>
                <w:i/>
                <w:iCs/>
                <w:sz w:val="24"/>
                <w:szCs w:val="24"/>
              </w:rPr>
              <w:t>/Expert</w:t>
            </w:r>
            <w:r w:rsidRPr="007F3230">
              <w:rPr>
                <w:rFonts w:cstheme="minorHAnsi"/>
                <w:i/>
                <w:iCs/>
                <w:sz w:val="24"/>
                <w:szCs w:val="24"/>
              </w:rPr>
              <w:t xml:space="preserve"> Observation:</w:t>
            </w:r>
            <w:r w:rsidRPr="007F3230">
              <w:rPr>
                <w:rFonts w:cstheme="minorHAnsi"/>
                <w:sz w:val="24"/>
                <w:szCs w:val="24"/>
              </w:rPr>
              <w:t xml:space="preserve"> </w:t>
            </w:r>
            <w:r w:rsidR="00292212" w:rsidRPr="007F3230">
              <w:rPr>
                <w:rFonts w:cstheme="minorHAnsi"/>
                <w:sz w:val="24"/>
                <w:szCs w:val="24"/>
              </w:rPr>
              <w:t>Notes about the u</w:t>
            </w:r>
            <w:r w:rsidRPr="007F3230">
              <w:rPr>
                <w:rFonts w:cstheme="minorHAnsi"/>
                <w:sz w:val="24"/>
                <w:szCs w:val="24"/>
              </w:rPr>
              <w:t>se of effective teaching strategies and learning facilitation</w:t>
            </w:r>
          </w:p>
          <w:p w14:paraId="5FB06EA2" w14:textId="77777777" w:rsidR="00BB53E3" w:rsidRPr="007F3230" w:rsidRDefault="00BB53E3" w:rsidP="008A17F1">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F3230">
              <w:rPr>
                <w:rFonts w:cstheme="minorHAnsi"/>
                <w:i/>
                <w:iCs/>
                <w:sz w:val="24"/>
                <w:szCs w:val="24"/>
              </w:rPr>
              <w:t>Recognition:</w:t>
            </w:r>
            <w:r w:rsidRPr="007F3230">
              <w:rPr>
                <w:rFonts w:cstheme="minorHAnsi"/>
                <w:sz w:val="24"/>
                <w:szCs w:val="24"/>
              </w:rPr>
              <w:t xml:space="preserve"> Awards or honors </w:t>
            </w:r>
            <w:r w:rsidR="00292212" w:rsidRPr="007F3230">
              <w:rPr>
                <w:rFonts w:cstheme="minorHAnsi"/>
                <w:sz w:val="24"/>
                <w:szCs w:val="24"/>
              </w:rPr>
              <w:t>related to pedagogy</w:t>
            </w:r>
          </w:p>
          <w:p w14:paraId="7C2A4C44" w14:textId="140CFCF1" w:rsidR="0083716C" w:rsidRPr="007F3230" w:rsidRDefault="0083716C" w:rsidP="008A17F1">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F3230">
              <w:rPr>
                <w:rFonts w:cstheme="minorHAnsi"/>
                <w:i/>
                <w:iCs/>
                <w:sz w:val="24"/>
                <w:szCs w:val="24"/>
              </w:rPr>
              <w:t>Professional Activities</w:t>
            </w:r>
            <w:r w:rsidRPr="007F3230">
              <w:rPr>
                <w:rFonts w:cstheme="minorHAnsi"/>
                <w:sz w:val="24"/>
                <w:szCs w:val="24"/>
              </w:rPr>
              <w:t>: Participation in pedagogical training or programs</w:t>
            </w:r>
          </w:p>
        </w:tc>
      </w:tr>
      <w:tr w:rsidR="00BB53E3" w:rsidRPr="007F3230" w14:paraId="60FC0D1E" w14:textId="77777777" w:rsidTr="00C626B4">
        <w:tc>
          <w:tcPr>
            <w:cnfStyle w:val="001000000000" w:firstRow="0" w:lastRow="0" w:firstColumn="1" w:lastColumn="0" w:oddVBand="0" w:evenVBand="0" w:oddHBand="0" w:evenHBand="0" w:firstRowFirstColumn="0" w:firstRowLastColumn="0" w:lastRowFirstColumn="0" w:lastRowLastColumn="0"/>
            <w:tcW w:w="1525" w:type="dxa"/>
            <w:hideMark/>
          </w:tcPr>
          <w:p w14:paraId="4BE8D63D" w14:textId="1D83FED9" w:rsidR="00BB53E3" w:rsidRPr="007F3230" w:rsidRDefault="00BB53E3" w:rsidP="00D5187A">
            <w:pPr>
              <w:rPr>
                <w:rFonts w:cstheme="minorHAnsi"/>
                <w:b w:val="0"/>
                <w:bCs w:val="0"/>
                <w:sz w:val="24"/>
                <w:szCs w:val="24"/>
              </w:rPr>
            </w:pPr>
            <w:r w:rsidRPr="007F3230">
              <w:rPr>
                <w:rFonts w:cstheme="minorHAnsi"/>
                <w:b w:val="0"/>
                <w:bCs w:val="0"/>
                <w:sz w:val="24"/>
                <w:szCs w:val="24"/>
              </w:rPr>
              <w:t>Outcomes</w:t>
            </w:r>
          </w:p>
        </w:tc>
        <w:tc>
          <w:tcPr>
            <w:tcW w:w="7825" w:type="dxa"/>
            <w:hideMark/>
          </w:tcPr>
          <w:p w14:paraId="6D98FB54" w14:textId="77777777" w:rsidR="00C626B4" w:rsidRPr="007F3230" w:rsidRDefault="00BB53E3" w:rsidP="008A17F1">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F3230">
              <w:rPr>
                <w:rFonts w:cstheme="minorHAnsi"/>
                <w:i/>
                <w:iCs/>
                <w:sz w:val="24"/>
                <w:szCs w:val="24"/>
              </w:rPr>
              <w:t>Assessment Results</w:t>
            </w:r>
            <w:r w:rsidRPr="007F3230">
              <w:rPr>
                <w:rFonts w:cstheme="minorHAnsi"/>
                <w:sz w:val="24"/>
                <w:szCs w:val="24"/>
              </w:rPr>
              <w:t>: Data showing student achievement of learning outcomes</w:t>
            </w:r>
          </w:p>
          <w:p w14:paraId="489D6F81" w14:textId="77777777" w:rsidR="00C626B4" w:rsidRPr="007F3230" w:rsidRDefault="00BB53E3" w:rsidP="008A17F1">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F3230">
              <w:rPr>
                <w:rFonts w:cstheme="minorHAnsi"/>
                <w:i/>
                <w:iCs/>
                <w:sz w:val="24"/>
                <w:szCs w:val="24"/>
              </w:rPr>
              <w:t>Graded Assignments</w:t>
            </w:r>
            <w:r w:rsidRPr="007F3230">
              <w:rPr>
                <w:rFonts w:cstheme="minorHAnsi"/>
                <w:sz w:val="24"/>
                <w:szCs w:val="24"/>
              </w:rPr>
              <w:t>: Samples demonstrating learning progress and alignment with objectives</w:t>
            </w:r>
          </w:p>
          <w:p w14:paraId="77E503C3" w14:textId="565914E9" w:rsidR="00C626B4" w:rsidRPr="007F3230" w:rsidRDefault="00BB53E3" w:rsidP="008A17F1">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F3230">
              <w:rPr>
                <w:rFonts w:cstheme="minorHAnsi"/>
                <w:i/>
                <w:iCs/>
                <w:sz w:val="24"/>
                <w:szCs w:val="24"/>
              </w:rPr>
              <w:t xml:space="preserve">Student </w:t>
            </w:r>
            <w:r w:rsidR="00292212" w:rsidRPr="007F3230">
              <w:rPr>
                <w:rFonts w:cstheme="minorHAnsi"/>
                <w:i/>
                <w:iCs/>
                <w:sz w:val="24"/>
                <w:szCs w:val="24"/>
              </w:rPr>
              <w:t>Evaluations</w:t>
            </w:r>
            <w:r w:rsidR="00292212" w:rsidRPr="007F3230">
              <w:rPr>
                <w:rFonts w:cstheme="minorHAnsi"/>
                <w:sz w:val="24"/>
                <w:szCs w:val="24"/>
              </w:rPr>
              <w:t xml:space="preserve">: </w:t>
            </w:r>
            <w:r w:rsidRPr="007F3230">
              <w:rPr>
                <w:rFonts w:cstheme="minorHAnsi"/>
                <w:sz w:val="24"/>
                <w:szCs w:val="24"/>
              </w:rPr>
              <w:t>Evaluation of learning gains and course value</w:t>
            </w:r>
          </w:p>
          <w:p w14:paraId="312A34A7" w14:textId="77777777" w:rsidR="00BB53E3" w:rsidRPr="007F3230" w:rsidRDefault="00BB53E3" w:rsidP="008A17F1">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F3230">
              <w:rPr>
                <w:rFonts w:cstheme="minorHAnsi"/>
                <w:i/>
                <w:iCs/>
                <w:sz w:val="24"/>
                <w:szCs w:val="24"/>
              </w:rPr>
              <w:lastRenderedPageBreak/>
              <w:t>Peer</w:t>
            </w:r>
            <w:r w:rsidR="00F70601" w:rsidRPr="007F3230">
              <w:rPr>
                <w:rFonts w:cstheme="minorHAnsi"/>
                <w:i/>
                <w:iCs/>
                <w:sz w:val="24"/>
                <w:szCs w:val="24"/>
              </w:rPr>
              <w:t>/Expert</w:t>
            </w:r>
            <w:r w:rsidRPr="007F3230">
              <w:rPr>
                <w:rFonts w:cstheme="minorHAnsi"/>
                <w:i/>
                <w:iCs/>
                <w:sz w:val="24"/>
                <w:szCs w:val="24"/>
              </w:rPr>
              <w:t xml:space="preserve"> </w:t>
            </w:r>
            <w:r w:rsidR="00F70601" w:rsidRPr="007F3230">
              <w:rPr>
                <w:rFonts w:cstheme="minorHAnsi"/>
                <w:i/>
                <w:iCs/>
                <w:sz w:val="24"/>
                <w:szCs w:val="24"/>
              </w:rPr>
              <w:t>Assessment</w:t>
            </w:r>
            <w:r w:rsidRPr="007F3230">
              <w:rPr>
                <w:rFonts w:cstheme="minorHAnsi"/>
                <w:sz w:val="24"/>
                <w:szCs w:val="24"/>
              </w:rPr>
              <w:t>: Review of outcome-based assessments and rubrics</w:t>
            </w:r>
          </w:p>
          <w:p w14:paraId="3E6FC597" w14:textId="77DA467E" w:rsidR="0083716C" w:rsidRPr="007F3230" w:rsidRDefault="0083716C" w:rsidP="008A17F1">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F3230">
              <w:rPr>
                <w:rFonts w:cstheme="minorHAnsi"/>
                <w:i/>
                <w:iCs/>
                <w:sz w:val="24"/>
                <w:szCs w:val="24"/>
              </w:rPr>
              <w:t>Professional Activities</w:t>
            </w:r>
            <w:r w:rsidRPr="007F3230">
              <w:rPr>
                <w:rFonts w:cstheme="minorHAnsi"/>
                <w:sz w:val="24"/>
                <w:szCs w:val="24"/>
              </w:rPr>
              <w:t xml:space="preserve">: Participation in </w:t>
            </w:r>
            <w:r w:rsidR="00EA2C02" w:rsidRPr="007F3230">
              <w:rPr>
                <w:rFonts w:cstheme="minorHAnsi"/>
                <w:sz w:val="24"/>
                <w:szCs w:val="24"/>
              </w:rPr>
              <w:t>programs or workshops</w:t>
            </w:r>
            <w:r w:rsidRPr="007F3230">
              <w:rPr>
                <w:rFonts w:cstheme="minorHAnsi"/>
                <w:sz w:val="24"/>
                <w:szCs w:val="24"/>
              </w:rPr>
              <w:t xml:space="preserve"> focus</w:t>
            </w:r>
            <w:r w:rsidR="005D4E11" w:rsidRPr="007F3230">
              <w:rPr>
                <w:rFonts w:cstheme="minorHAnsi"/>
                <w:sz w:val="24"/>
                <w:szCs w:val="24"/>
              </w:rPr>
              <w:t>ed</w:t>
            </w:r>
            <w:r w:rsidRPr="007F3230">
              <w:rPr>
                <w:rFonts w:cstheme="minorHAnsi"/>
                <w:sz w:val="24"/>
                <w:szCs w:val="24"/>
              </w:rPr>
              <w:t xml:space="preserve"> on assessment design</w:t>
            </w:r>
          </w:p>
        </w:tc>
      </w:tr>
      <w:tr w:rsidR="00C626B4" w:rsidRPr="007F3230" w14:paraId="5E9C79ED" w14:textId="77777777" w:rsidTr="00C626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hideMark/>
          </w:tcPr>
          <w:p w14:paraId="40901AE1" w14:textId="5F5520C2" w:rsidR="00BB53E3" w:rsidRPr="007F3230" w:rsidRDefault="00BB53E3" w:rsidP="00D5187A">
            <w:pPr>
              <w:rPr>
                <w:rFonts w:cstheme="minorHAnsi"/>
                <w:b w:val="0"/>
                <w:bCs w:val="0"/>
                <w:sz w:val="24"/>
                <w:szCs w:val="24"/>
              </w:rPr>
            </w:pPr>
            <w:r w:rsidRPr="007F3230">
              <w:rPr>
                <w:rFonts w:cstheme="minorHAnsi"/>
                <w:b w:val="0"/>
                <w:bCs w:val="0"/>
                <w:sz w:val="24"/>
                <w:szCs w:val="24"/>
              </w:rPr>
              <w:t>Improvement</w:t>
            </w:r>
          </w:p>
        </w:tc>
        <w:tc>
          <w:tcPr>
            <w:tcW w:w="7825" w:type="dxa"/>
            <w:hideMark/>
          </w:tcPr>
          <w:p w14:paraId="6BEF3EDE" w14:textId="1230C957" w:rsidR="00C626B4" w:rsidRPr="007F3230" w:rsidRDefault="00292212" w:rsidP="008A17F1">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F3230">
              <w:rPr>
                <w:rFonts w:cstheme="minorHAnsi"/>
                <w:i/>
                <w:iCs/>
                <w:sz w:val="24"/>
                <w:szCs w:val="24"/>
              </w:rPr>
              <w:t>Course Materials</w:t>
            </w:r>
            <w:r w:rsidR="00BB53E3" w:rsidRPr="007F3230">
              <w:rPr>
                <w:rFonts w:cstheme="minorHAnsi"/>
                <w:sz w:val="24"/>
                <w:szCs w:val="24"/>
              </w:rPr>
              <w:t>: Documentation of changes to syllabi, assessments, or activities over time</w:t>
            </w:r>
          </w:p>
          <w:p w14:paraId="666FB193" w14:textId="7C954B3F" w:rsidR="00C626B4" w:rsidRPr="007F3230" w:rsidRDefault="00BB53E3" w:rsidP="008A17F1">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F3230">
              <w:rPr>
                <w:rFonts w:cstheme="minorHAnsi"/>
                <w:i/>
                <w:iCs/>
                <w:sz w:val="24"/>
                <w:szCs w:val="24"/>
              </w:rPr>
              <w:t>Reflections</w:t>
            </w:r>
            <w:r w:rsidRPr="007F3230">
              <w:rPr>
                <w:rFonts w:cstheme="minorHAnsi"/>
                <w:sz w:val="24"/>
                <w:szCs w:val="24"/>
              </w:rPr>
              <w:t xml:space="preserve">: </w:t>
            </w:r>
            <w:r w:rsidR="00292212" w:rsidRPr="007F3230">
              <w:rPr>
                <w:rFonts w:cstheme="minorHAnsi"/>
                <w:sz w:val="24"/>
                <w:szCs w:val="24"/>
              </w:rPr>
              <w:t>Self-assessment n</w:t>
            </w:r>
            <w:r w:rsidRPr="007F3230">
              <w:rPr>
                <w:rFonts w:cstheme="minorHAnsi"/>
                <w:sz w:val="24"/>
                <w:szCs w:val="24"/>
              </w:rPr>
              <w:t>arrative describing teaching adjustments in response to feedback</w:t>
            </w:r>
          </w:p>
          <w:p w14:paraId="3CCE7007" w14:textId="77777777" w:rsidR="00C626B4" w:rsidRPr="007F3230" w:rsidRDefault="00BB53E3" w:rsidP="008A17F1">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F3230">
              <w:rPr>
                <w:rFonts w:cstheme="minorHAnsi"/>
                <w:i/>
                <w:iCs/>
                <w:sz w:val="24"/>
                <w:szCs w:val="24"/>
              </w:rPr>
              <w:t>Student Trends</w:t>
            </w:r>
            <w:r w:rsidRPr="007F3230">
              <w:rPr>
                <w:rFonts w:cstheme="minorHAnsi"/>
                <w:sz w:val="24"/>
                <w:szCs w:val="24"/>
              </w:rPr>
              <w:t>: Evidence of improved course evaluations or student performance</w:t>
            </w:r>
          </w:p>
          <w:p w14:paraId="4CB86BAA" w14:textId="77777777" w:rsidR="00BB53E3" w:rsidRPr="007F3230" w:rsidRDefault="00BB53E3" w:rsidP="008A17F1">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F3230">
              <w:rPr>
                <w:rFonts w:cstheme="minorHAnsi"/>
                <w:i/>
                <w:iCs/>
                <w:sz w:val="24"/>
                <w:szCs w:val="24"/>
              </w:rPr>
              <w:t>Peer</w:t>
            </w:r>
            <w:r w:rsidR="00F70601" w:rsidRPr="007F3230">
              <w:rPr>
                <w:rFonts w:cstheme="minorHAnsi"/>
                <w:i/>
                <w:iCs/>
                <w:sz w:val="24"/>
                <w:szCs w:val="24"/>
              </w:rPr>
              <w:t>/Expert</w:t>
            </w:r>
            <w:r w:rsidRPr="007F3230">
              <w:rPr>
                <w:rFonts w:cstheme="minorHAnsi"/>
                <w:i/>
                <w:iCs/>
                <w:sz w:val="24"/>
                <w:szCs w:val="24"/>
              </w:rPr>
              <w:t xml:space="preserve"> </w:t>
            </w:r>
            <w:r w:rsidR="00292212" w:rsidRPr="007F3230">
              <w:rPr>
                <w:rFonts w:cstheme="minorHAnsi"/>
                <w:i/>
                <w:iCs/>
                <w:sz w:val="24"/>
                <w:szCs w:val="24"/>
              </w:rPr>
              <w:t>Reviews</w:t>
            </w:r>
            <w:r w:rsidRPr="007F3230">
              <w:rPr>
                <w:rFonts w:cstheme="minorHAnsi"/>
                <w:sz w:val="24"/>
                <w:szCs w:val="24"/>
              </w:rPr>
              <w:t>: Evaluation of iterative improvements and responsiveness to challenges</w:t>
            </w:r>
          </w:p>
          <w:p w14:paraId="7364018D" w14:textId="36611311" w:rsidR="0083716C" w:rsidRPr="007F3230" w:rsidRDefault="0083716C" w:rsidP="008A17F1">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F3230">
              <w:rPr>
                <w:rFonts w:cstheme="minorHAnsi"/>
                <w:i/>
                <w:iCs/>
                <w:sz w:val="24"/>
                <w:szCs w:val="24"/>
              </w:rPr>
              <w:t>Professional Activities</w:t>
            </w:r>
            <w:r w:rsidRPr="007F3230">
              <w:rPr>
                <w:rFonts w:cstheme="minorHAnsi"/>
                <w:sz w:val="24"/>
                <w:szCs w:val="24"/>
              </w:rPr>
              <w:t xml:space="preserve">: Participation in programs </w:t>
            </w:r>
            <w:r w:rsidR="00EA2C02" w:rsidRPr="007F3230">
              <w:rPr>
                <w:rFonts w:cstheme="minorHAnsi"/>
                <w:sz w:val="24"/>
                <w:szCs w:val="24"/>
              </w:rPr>
              <w:t xml:space="preserve">or workshops </w:t>
            </w:r>
            <w:r w:rsidRPr="007F3230">
              <w:rPr>
                <w:rFonts w:cstheme="minorHAnsi"/>
                <w:sz w:val="24"/>
                <w:szCs w:val="24"/>
              </w:rPr>
              <w:t>focus</w:t>
            </w:r>
            <w:r w:rsidR="005D4E11" w:rsidRPr="007F3230">
              <w:rPr>
                <w:rFonts w:cstheme="minorHAnsi"/>
                <w:sz w:val="24"/>
                <w:szCs w:val="24"/>
              </w:rPr>
              <w:t>ed</w:t>
            </w:r>
            <w:r w:rsidRPr="007F3230">
              <w:rPr>
                <w:rFonts w:cstheme="minorHAnsi"/>
                <w:sz w:val="24"/>
                <w:szCs w:val="24"/>
              </w:rPr>
              <w:t xml:space="preserve"> on collecting and responding to student feedback</w:t>
            </w:r>
            <w:r w:rsidR="005D4E11" w:rsidRPr="007F3230">
              <w:rPr>
                <w:rFonts w:cstheme="minorHAnsi"/>
                <w:sz w:val="24"/>
                <w:szCs w:val="24"/>
              </w:rPr>
              <w:t xml:space="preserve"> and/or other aspects of continuous improvement to teaching and learning</w:t>
            </w:r>
            <w:r w:rsidRPr="007F3230">
              <w:rPr>
                <w:rFonts w:cstheme="minorHAnsi"/>
                <w:sz w:val="24"/>
                <w:szCs w:val="24"/>
              </w:rPr>
              <w:t xml:space="preserve"> </w:t>
            </w:r>
          </w:p>
        </w:tc>
      </w:tr>
      <w:tr w:rsidR="00BB53E3" w:rsidRPr="007F3230" w14:paraId="6A3B7974" w14:textId="77777777" w:rsidTr="00C626B4">
        <w:tc>
          <w:tcPr>
            <w:cnfStyle w:val="001000000000" w:firstRow="0" w:lastRow="0" w:firstColumn="1" w:lastColumn="0" w:oddVBand="0" w:evenVBand="0" w:oddHBand="0" w:evenHBand="0" w:firstRowFirstColumn="0" w:firstRowLastColumn="0" w:lastRowFirstColumn="0" w:lastRowLastColumn="0"/>
            <w:tcW w:w="1525" w:type="dxa"/>
            <w:hideMark/>
          </w:tcPr>
          <w:p w14:paraId="33FE751B" w14:textId="658A78A5" w:rsidR="00BB53E3" w:rsidRPr="007F3230" w:rsidRDefault="00BB53E3" w:rsidP="00D5187A">
            <w:pPr>
              <w:rPr>
                <w:rFonts w:cstheme="minorHAnsi"/>
                <w:b w:val="0"/>
                <w:bCs w:val="0"/>
                <w:sz w:val="24"/>
                <w:szCs w:val="24"/>
              </w:rPr>
            </w:pPr>
            <w:r w:rsidRPr="007F3230">
              <w:rPr>
                <w:rFonts w:cstheme="minorHAnsi"/>
                <w:b w:val="0"/>
                <w:bCs w:val="0"/>
                <w:sz w:val="24"/>
                <w:szCs w:val="24"/>
              </w:rPr>
              <w:t>Adaptability &amp; Innovation</w:t>
            </w:r>
          </w:p>
        </w:tc>
        <w:tc>
          <w:tcPr>
            <w:tcW w:w="7825" w:type="dxa"/>
            <w:hideMark/>
          </w:tcPr>
          <w:p w14:paraId="4EEA4A78" w14:textId="4242F33D" w:rsidR="00C626B4" w:rsidRPr="007F3230" w:rsidRDefault="00292212" w:rsidP="008A17F1">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F3230">
              <w:rPr>
                <w:rFonts w:cstheme="minorHAnsi"/>
                <w:i/>
                <w:iCs/>
                <w:sz w:val="24"/>
                <w:szCs w:val="24"/>
              </w:rPr>
              <w:t>Course Materials</w:t>
            </w:r>
            <w:r w:rsidR="00BB53E3" w:rsidRPr="007F3230">
              <w:rPr>
                <w:rFonts w:cstheme="minorHAnsi"/>
                <w:sz w:val="24"/>
                <w:szCs w:val="24"/>
              </w:rPr>
              <w:t>: Integration of new platforms, tools, or media for teaching</w:t>
            </w:r>
          </w:p>
          <w:p w14:paraId="1698FA2C" w14:textId="77777777" w:rsidR="00C626B4" w:rsidRPr="007F3230" w:rsidRDefault="00BB53E3" w:rsidP="008A17F1">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F3230">
              <w:rPr>
                <w:rFonts w:cstheme="minorHAnsi"/>
                <w:i/>
                <w:iCs/>
                <w:sz w:val="24"/>
                <w:szCs w:val="24"/>
              </w:rPr>
              <w:t>Course Design</w:t>
            </w:r>
            <w:r w:rsidRPr="007F3230">
              <w:rPr>
                <w:rFonts w:cstheme="minorHAnsi"/>
                <w:sz w:val="24"/>
                <w:szCs w:val="24"/>
              </w:rPr>
              <w:t>: Creative solutions for remote/hybrid teaching or shifting student needs</w:t>
            </w:r>
          </w:p>
          <w:p w14:paraId="0334D80D" w14:textId="68952628" w:rsidR="00C626B4" w:rsidRPr="007F3230" w:rsidRDefault="00292212" w:rsidP="008A17F1">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F3230">
              <w:rPr>
                <w:rFonts w:cstheme="minorHAnsi"/>
                <w:i/>
                <w:iCs/>
                <w:sz w:val="24"/>
                <w:szCs w:val="24"/>
              </w:rPr>
              <w:t>Student Evaluations</w:t>
            </w:r>
            <w:r w:rsidRPr="007F3230">
              <w:rPr>
                <w:rFonts w:cstheme="minorHAnsi"/>
                <w:sz w:val="24"/>
                <w:szCs w:val="24"/>
              </w:rPr>
              <w:t xml:space="preserve">: </w:t>
            </w:r>
            <w:r w:rsidR="00BB53E3" w:rsidRPr="007F3230">
              <w:rPr>
                <w:rFonts w:cstheme="minorHAnsi"/>
                <w:sz w:val="24"/>
                <w:szCs w:val="24"/>
              </w:rPr>
              <w:t>Evaluation of instructor flexibility and innovation</w:t>
            </w:r>
          </w:p>
          <w:p w14:paraId="2CAA15FA" w14:textId="77777777" w:rsidR="00BB53E3" w:rsidRPr="007F3230" w:rsidRDefault="00BB53E3" w:rsidP="008A17F1">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F3230">
              <w:rPr>
                <w:rFonts w:cstheme="minorHAnsi"/>
                <w:i/>
                <w:iCs/>
                <w:sz w:val="24"/>
                <w:szCs w:val="24"/>
              </w:rPr>
              <w:t>Peer</w:t>
            </w:r>
            <w:r w:rsidR="00F70601" w:rsidRPr="007F3230">
              <w:rPr>
                <w:rFonts w:cstheme="minorHAnsi"/>
                <w:i/>
                <w:iCs/>
                <w:sz w:val="24"/>
                <w:szCs w:val="24"/>
              </w:rPr>
              <w:t>/Expert</w:t>
            </w:r>
            <w:r w:rsidRPr="007F3230">
              <w:rPr>
                <w:rFonts w:cstheme="minorHAnsi"/>
                <w:i/>
                <w:iCs/>
                <w:sz w:val="24"/>
                <w:szCs w:val="24"/>
              </w:rPr>
              <w:t xml:space="preserve"> </w:t>
            </w:r>
            <w:r w:rsidR="00F70601" w:rsidRPr="007F3230">
              <w:rPr>
                <w:rFonts w:cstheme="minorHAnsi"/>
                <w:i/>
                <w:iCs/>
                <w:sz w:val="24"/>
                <w:szCs w:val="24"/>
              </w:rPr>
              <w:t>Assessment</w:t>
            </w:r>
            <w:r w:rsidRPr="007F3230">
              <w:rPr>
                <w:rFonts w:cstheme="minorHAnsi"/>
                <w:i/>
                <w:iCs/>
                <w:sz w:val="24"/>
                <w:szCs w:val="24"/>
              </w:rPr>
              <w:t>:</w:t>
            </w:r>
            <w:r w:rsidRPr="007F3230">
              <w:rPr>
                <w:rFonts w:cstheme="minorHAnsi"/>
                <w:sz w:val="24"/>
                <w:szCs w:val="24"/>
              </w:rPr>
              <w:t xml:space="preserve"> Assessment of creative teaching approaches and adaptability</w:t>
            </w:r>
          </w:p>
          <w:p w14:paraId="43DF57E3" w14:textId="502C4814" w:rsidR="005D4E11" w:rsidRPr="007F3230" w:rsidRDefault="005D4E11" w:rsidP="008A17F1">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F3230">
              <w:rPr>
                <w:rFonts w:cstheme="minorHAnsi"/>
                <w:i/>
                <w:iCs/>
                <w:sz w:val="24"/>
                <w:szCs w:val="24"/>
              </w:rPr>
              <w:t>Professional Activities</w:t>
            </w:r>
            <w:r w:rsidRPr="007F3230">
              <w:rPr>
                <w:rFonts w:cstheme="minorHAnsi"/>
                <w:sz w:val="24"/>
                <w:szCs w:val="24"/>
              </w:rPr>
              <w:t xml:space="preserve">: Participation in programs </w:t>
            </w:r>
            <w:r w:rsidR="00EA2C02" w:rsidRPr="007F3230">
              <w:rPr>
                <w:rFonts w:cstheme="minorHAnsi"/>
                <w:sz w:val="24"/>
                <w:szCs w:val="24"/>
              </w:rPr>
              <w:t xml:space="preserve">or workshops </w:t>
            </w:r>
            <w:r w:rsidRPr="007F3230">
              <w:rPr>
                <w:rFonts w:cstheme="minorHAnsi"/>
                <w:sz w:val="24"/>
                <w:szCs w:val="24"/>
              </w:rPr>
              <w:t>related to innovative teaching practices</w:t>
            </w:r>
          </w:p>
        </w:tc>
      </w:tr>
    </w:tbl>
    <w:p w14:paraId="2DD1C936" w14:textId="52C0E347" w:rsidR="00236CC2" w:rsidRDefault="00236CC2" w:rsidP="00236CC2">
      <w:pPr>
        <w:pStyle w:val="Heading2"/>
      </w:pPr>
      <w:r>
        <w:t>S</w:t>
      </w:r>
      <w:r w:rsidR="004E77C0">
        <w:t>cope</w:t>
      </w:r>
      <w:r>
        <w:t xml:space="preserve"> of Evidence</w:t>
      </w:r>
    </w:p>
    <w:p w14:paraId="6420D689" w14:textId="77777777" w:rsidR="00236CC2" w:rsidRPr="008B62F6" w:rsidRDefault="00236CC2" w:rsidP="008B62F6">
      <w:pPr>
        <w:pStyle w:val="NoSpacing"/>
        <w:rPr>
          <w:sz w:val="24"/>
          <w:szCs w:val="24"/>
        </w:rPr>
      </w:pPr>
    </w:p>
    <w:p w14:paraId="4E1C8BF2" w14:textId="3EA17857" w:rsidR="00236CC2" w:rsidRDefault="00236CC2" w:rsidP="00236CC2">
      <w:pPr>
        <w:pStyle w:val="NoSpacing"/>
        <w:rPr>
          <w:sz w:val="24"/>
          <w:szCs w:val="24"/>
        </w:rPr>
      </w:pPr>
      <w:r w:rsidRPr="008B62F6">
        <w:rPr>
          <w:sz w:val="24"/>
          <w:szCs w:val="24"/>
        </w:rPr>
        <w:t xml:space="preserve">Academic units (departments/schools or colleges) are expected to establish common standards of practice for the scope of the evaluation, including goals, acceptable sources of evidence, acceptable types of evidence, and depth and breadth of evidence required. Academic units should use samples of evidence rather than attempt to evaluate all possible evidence. </w:t>
      </w:r>
      <w:r w:rsidR="00F14435">
        <w:rPr>
          <w:sz w:val="24"/>
          <w:szCs w:val="24"/>
        </w:rPr>
        <w:t xml:space="preserve">Ideally, academic units should establish standards of practice that balance the need to effectively evaluate the scope of faculty contributions with the need for a process that does not unnecessarily burden faculty, reviewers, observers, assessors, and/or evaluators. </w:t>
      </w:r>
    </w:p>
    <w:p w14:paraId="03404BD7" w14:textId="77777777" w:rsidR="00F14435" w:rsidRDefault="00F14435" w:rsidP="00236CC2">
      <w:pPr>
        <w:pStyle w:val="NoSpacing"/>
        <w:rPr>
          <w:sz w:val="24"/>
          <w:szCs w:val="24"/>
        </w:rPr>
      </w:pPr>
    </w:p>
    <w:p w14:paraId="4544C3AA" w14:textId="27DED26C" w:rsidR="00F14435" w:rsidRPr="008B62F6" w:rsidRDefault="00F14435" w:rsidP="008B62F6">
      <w:pPr>
        <w:pStyle w:val="NoSpacing"/>
        <w:rPr>
          <w:sz w:val="24"/>
          <w:szCs w:val="24"/>
        </w:rPr>
      </w:pPr>
      <w:r>
        <w:rPr>
          <w:sz w:val="24"/>
          <w:szCs w:val="24"/>
        </w:rPr>
        <w:t>For example</w:t>
      </w:r>
      <w:r w:rsidRPr="000536B4">
        <w:rPr>
          <w:sz w:val="24"/>
          <w:szCs w:val="24"/>
        </w:rPr>
        <w:t xml:space="preserve">, </w:t>
      </w:r>
      <w:r>
        <w:rPr>
          <w:sz w:val="24"/>
          <w:szCs w:val="24"/>
        </w:rPr>
        <w:t xml:space="preserve">if a faculty member teaches similar courses in a similar modality, </w:t>
      </w:r>
      <w:r w:rsidRPr="000536B4">
        <w:rPr>
          <w:sz w:val="24"/>
          <w:szCs w:val="24"/>
        </w:rPr>
        <w:t xml:space="preserve">academic units may determine that </w:t>
      </w:r>
      <w:r>
        <w:rPr>
          <w:sz w:val="24"/>
          <w:szCs w:val="24"/>
        </w:rPr>
        <w:t xml:space="preserve">multiple sample </w:t>
      </w:r>
      <w:r w:rsidRPr="000536B4">
        <w:rPr>
          <w:sz w:val="24"/>
          <w:szCs w:val="24"/>
        </w:rPr>
        <w:t xml:space="preserve">evidence from </w:t>
      </w:r>
      <w:r>
        <w:rPr>
          <w:sz w:val="24"/>
          <w:szCs w:val="24"/>
        </w:rPr>
        <w:t xml:space="preserve">a single </w:t>
      </w:r>
      <w:r w:rsidRPr="000536B4">
        <w:rPr>
          <w:sz w:val="24"/>
          <w:szCs w:val="24"/>
        </w:rPr>
        <w:t>course</w:t>
      </w:r>
      <w:r>
        <w:rPr>
          <w:sz w:val="24"/>
          <w:szCs w:val="24"/>
        </w:rPr>
        <w:t xml:space="preserve"> is appropriate for a peer evaluation of teaching. Similarly, </w:t>
      </w:r>
      <w:r w:rsidRPr="00F14435">
        <w:rPr>
          <w:sz w:val="24"/>
          <w:szCs w:val="24"/>
        </w:rPr>
        <w:t xml:space="preserve">if </w:t>
      </w:r>
      <w:r>
        <w:rPr>
          <w:sz w:val="24"/>
          <w:szCs w:val="24"/>
        </w:rPr>
        <w:t>a faculty member teaches</w:t>
      </w:r>
      <w:r w:rsidRPr="00F14435">
        <w:rPr>
          <w:sz w:val="24"/>
          <w:szCs w:val="24"/>
        </w:rPr>
        <w:t xml:space="preserve"> </w:t>
      </w:r>
      <w:r>
        <w:rPr>
          <w:sz w:val="24"/>
          <w:szCs w:val="24"/>
        </w:rPr>
        <w:t>a wider variety of</w:t>
      </w:r>
      <w:r w:rsidRPr="00F14435">
        <w:rPr>
          <w:sz w:val="24"/>
          <w:szCs w:val="24"/>
        </w:rPr>
        <w:t xml:space="preserve"> courses </w:t>
      </w:r>
      <w:r>
        <w:rPr>
          <w:sz w:val="24"/>
          <w:szCs w:val="24"/>
        </w:rPr>
        <w:t xml:space="preserve">(i.e., different program levels, course types, course modalities), academic units may determine that more narrowly focused sample evidence from multiple courses is appropriate. Alternatively, </w:t>
      </w:r>
      <w:r w:rsidR="0067148B">
        <w:rPr>
          <w:sz w:val="24"/>
          <w:szCs w:val="24"/>
        </w:rPr>
        <w:t xml:space="preserve">academic units may establish a system where faculty are evaluated using different types of evidence on a rotating (e.g., every other year) basis. </w:t>
      </w:r>
    </w:p>
    <w:p w14:paraId="51D92FB8" w14:textId="09C10D01" w:rsidR="00F64931" w:rsidRPr="00F32BD6" w:rsidRDefault="00871711" w:rsidP="00D5187A">
      <w:pPr>
        <w:pStyle w:val="Heading2"/>
        <w:spacing w:line="240" w:lineRule="auto"/>
      </w:pPr>
      <w:r>
        <w:t xml:space="preserve">Evidence Collection </w:t>
      </w:r>
      <w:r w:rsidR="00AE50B9" w:rsidRPr="00F32BD6">
        <w:t>Modalities</w:t>
      </w:r>
    </w:p>
    <w:p w14:paraId="7F12CAB0" w14:textId="77777777" w:rsidR="00180EDF" w:rsidRDefault="00180EDF" w:rsidP="00D5187A">
      <w:pPr>
        <w:pStyle w:val="ListBullet"/>
        <w:numPr>
          <w:ilvl w:val="0"/>
          <w:numId w:val="0"/>
        </w:numPr>
        <w:spacing w:after="0" w:line="240" w:lineRule="auto"/>
      </w:pPr>
    </w:p>
    <w:p w14:paraId="5C951C19" w14:textId="0B996825" w:rsidR="00AE50B9" w:rsidRPr="007F3230" w:rsidRDefault="00AE50B9" w:rsidP="00D5187A">
      <w:pPr>
        <w:pStyle w:val="ListBullet"/>
        <w:numPr>
          <w:ilvl w:val="0"/>
          <w:numId w:val="0"/>
        </w:numPr>
        <w:spacing w:after="0" w:line="240" w:lineRule="auto"/>
        <w:rPr>
          <w:sz w:val="24"/>
          <w:szCs w:val="24"/>
        </w:rPr>
      </w:pPr>
      <w:bookmarkStart w:id="7" w:name="_Hlk198214440"/>
      <w:r w:rsidRPr="007F3230">
        <w:rPr>
          <w:sz w:val="24"/>
          <w:szCs w:val="24"/>
        </w:rPr>
        <w:lastRenderedPageBreak/>
        <w:t xml:space="preserve">Peer </w:t>
      </w:r>
      <w:r w:rsidR="00AC7641" w:rsidRPr="007F3230">
        <w:rPr>
          <w:sz w:val="24"/>
          <w:szCs w:val="24"/>
        </w:rPr>
        <w:t>evaluations</w:t>
      </w:r>
      <w:r w:rsidRPr="007F3230">
        <w:rPr>
          <w:sz w:val="24"/>
          <w:szCs w:val="24"/>
        </w:rPr>
        <w:t xml:space="preserve"> </w:t>
      </w:r>
      <w:r w:rsidR="00AC7641" w:rsidRPr="007F3230">
        <w:rPr>
          <w:sz w:val="24"/>
          <w:szCs w:val="24"/>
        </w:rPr>
        <w:t>should</w:t>
      </w:r>
      <w:r w:rsidRPr="007F3230">
        <w:rPr>
          <w:sz w:val="24"/>
          <w:szCs w:val="24"/>
        </w:rPr>
        <w:t xml:space="preserve"> include </w:t>
      </w:r>
      <w:r w:rsidR="00AC7641" w:rsidRPr="007F3230">
        <w:rPr>
          <w:sz w:val="24"/>
          <w:szCs w:val="24"/>
        </w:rPr>
        <w:t xml:space="preserve">evidence collected from </w:t>
      </w:r>
      <w:r w:rsidRPr="007F3230">
        <w:rPr>
          <w:sz w:val="24"/>
          <w:szCs w:val="24"/>
        </w:rPr>
        <w:t xml:space="preserve">direct observation of teaching, analysis of </w:t>
      </w:r>
      <w:r w:rsidR="006D1617" w:rsidRPr="007F3230">
        <w:rPr>
          <w:sz w:val="24"/>
          <w:szCs w:val="24"/>
        </w:rPr>
        <w:t>teaching artifacts</w:t>
      </w:r>
      <w:r w:rsidRPr="007F3230">
        <w:rPr>
          <w:sz w:val="24"/>
          <w:szCs w:val="24"/>
        </w:rPr>
        <w:t xml:space="preserve">, review of </w:t>
      </w:r>
      <w:r w:rsidR="006D1617" w:rsidRPr="007F3230">
        <w:rPr>
          <w:sz w:val="24"/>
          <w:szCs w:val="24"/>
        </w:rPr>
        <w:t xml:space="preserve">student achievement of learning outcomes, or any combination </w:t>
      </w:r>
      <w:r w:rsidR="00AC7641" w:rsidRPr="007F3230">
        <w:rPr>
          <w:sz w:val="24"/>
          <w:szCs w:val="24"/>
        </w:rPr>
        <w:t>thereof</w:t>
      </w:r>
      <w:r w:rsidRPr="007F3230">
        <w:rPr>
          <w:sz w:val="24"/>
          <w:szCs w:val="24"/>
        </w:rPr>
        <w:t xml:space="preserve">. </w:t>
      </w:r>
      <w:r w:rsidR="006C28CC" w:rsidRPr="007F3230">
        <w:rPr>
          <w:sz w:val="24"/>
          <w:szCs w:val="24"/>
        </w:rPr>
        <w:t xml:space="preserve">Peer evaluations may also include indirect evidence, such as self-assessments, narratives, self-reports of professional activities, submitted by the faculty </w:t>
      </w:r>
      <w:proofErr w:type="gramStart"/>
      <w:r w:rsidR="006C28CC" w:rsidRPr="007F3230">
        <w:rPr>
          <w:sz w:val="24"/>
          <w:szCs w:val="24"/>
        </w:rPr>
        <w:t>member</w:t>
      </w:r>
      <w:proofErr w:type="gramEnd"/>
      <w:r w:rsidR="006C28CC" w:rsidRPr="007F3230">
        <w:rPr>
          <w:sz w:val="24"/>
          <w:szCs w:val="24"/>
        </w:rPr>
        <w:t xml:space="preserve"> undergoing the review. E</w:t>
      </w:r>
      <w:r w:rsidRPr="007F3230">
        <w:rPr>
          <w:sz w:val="24"/>
          <w:szCs w:val="24"/>
        </w:rPr>
        <w:t xml:space="preserve">vidence </w:t>
      </w:r>
      <w:r w:rsidR="00180EDF" w:rsidRPr="007F3230">
        <w:rPr>
          <w:sz w:val="24"/>
          <w:szCs w:val="24"/>
        </w:rPr>
        <w:t>should ultimately be</w:t>
      </w:r>
      <w:r w:rsidR="00AC7641" w:rsidRPr="007F3230">
        <w:rPr>
          <w:sz w:val="24"/>
          <w:szCs w:val="24"/>
        </w:rPr>
        <w:t xml:space="preserve"> evaluated</w:t>
      </w:r>
      <w:r w:rsidRPr="007F3230">
        <w:rPr>
          <w:sz w:val="24"/>
          <w:szCs w:val="24"/>
        </w:rPr>
        <w:t xml:space="preserve"> against </w:t>
      </w:r>
      <w:r w:rsidR="00A325E7" w:rsidRPr="007F3230">
        <w:rPr>
          <w:sz w:val="24"/>
          <w:szCs w:val="24"/>
        </w:rPr>
        <w:t xml:space="preserve">department/school or college </w:t>
      </w:r>
      <w:r w:rsidRPr="007F3230">
        <w:rPr>
          <w:sz w:val="24"/>
          <w:szCs w:val="24"/>
        </w:rPr>
        <w:t>shared standards of excellence.</w:t>
      </w:r>
    </w:p>
    <w:bookmarkEnd w:id="7"/>
    <w:p w14:paraId="5F851581" w14:textId="77777777" w:rsidR="006C28CC" w:rsidRPr="007F3230" w:rsidRDefault="006C28CC" w:rsidP="00D5187A">
      <w:pPr>
        <w:pStyle w:val="ListBullet"/>
        <w:numPr>
          <w:ilvl w:val="0"/>
          <w:numId w:val="0"/>
        </w:numPr>
        <w:spacing w:after="0" w:line="240" w:lineRule="auto"/>
        <w:rPr>
          <w:color w:val="0070C0"/>
          <w:sz w:val="24"/>
          <w:szCs w:val="24"/>
        </w:rPr>
      </w:pPr>
    </w:p>
    <w:p w14:paraId="2862F5CA" w14:textId="16FA23A7" w:rsidR="006C28CC" w:rsidRPr="007F3230" w:rsidRDefault="00650C88" w:rsidP="00D5187A">
      <w:pPr>
        <w:pStyle w:val="ListBullet"/>
        <w:numPr>
          <w:ilvl w:val="0"/>
          <w:numId w:val="0"/>
        </w:numPr>
        <w:spacing w:after="0" w:line="240" w:lineRule="auto"/>
        <w:rPr>
          <w:sz w:val="24"/>
          <w:szCs w:val="24"/>
        </w:rPr>
      </w:pPr>
      <w:r w:rsidRPr="007F3230">
        <w:rPr>
          <w:sz w:val="24"/>
          <w:szCs w:val="24"/>
        </w:rPr>
        <w:t xml:space="preserve">The following describes different options for collecting direct evidence. </w:t>
      </w:r>
    </w:p>
    <w:p w14:paraId="12FC1299" w14:textId="77777777" w:rsidR="00AE50B9" w:rsidRPr="007F3230" w:rsidRDefault="00AE50B9" w:rsidP="00D5187A">
      <w:pPr>
        <w:pStyle w:val="ListBullet"/>
        <w:numPr>
          <w:ilvl w:val="0"/>
          <w:numId w:val="0"/>
        </w:numPr>
        <w:spacing w:after="0" w:line="240" w:lineRule="auto"/>
        <w:ind w:left="360" w:hanging="360"/>
        <w:rPr>
          <w:sz w:val="24"/>
          <w:szCs w:val="24"/>
        </w:rPr>
      </w:pPr>
    </w:p>
    <w:p w14:paraId="14087B0A" w14:textId="38C60A7E" w:rsidR="00F64931" w:rsidRPr="00A325E7" w:rsidRDefault="00AC7641" w:rsidP="007F3230">
      <w:pPr>
        <w:pStyle w:val="Heading3"/>
      </w:pPr>
      <w:r>
        <w:t>Evidence Collection Option</w:t>
      </w:r>
      <w:r w:rsidRPr="00A325E7">
        <w:t xml:space="preserve"> 1: Observation of Teaching</w:t>
      </w:r>
      <w:r w:rsidR="009B631A">
        <w:t xml:space="preserve"> </w:t>
      </w:r>
    </w:p>
    <w:p w14:paraId="57C41CF1" w14:textId="77777777" w:rsidR="00BD2383" w:rsidRDefault="00BD2383" w:rsidP="009B631A">
      <w:pPr>
        <w:pStyle w:val="ListBullet2"/>
        <w:numPr>
          <w:ilvl w:val="0"/>
          <w:numId w:val="0"/>
        </w:numPr>
        <w:spacing w:after="0" w:line="240" w:lineRule="auto"/>
        <w:rPr>
          <w:color w:val="0070C0"/>
        </w:rPr>
      </w:pPr>
      <w:bookmarkStart w:id="8" w:name="_Hlk198197460"/>
    </w:p>
    <w:p w14:paraId="35ED5F55" w14:textId="6643F2BD" w:rsidR="009B631A" w:rsidRPr="007F3230" w:rsidRDefault="00BD2383" w:rsidP="009B631A">
      <w:pPr>
        <w:pStyle w:val="ListBullet2"/>
        <w:numPr>
          <w:ilvl w:val="0"/>
          <w:numId w:val="0"/>
        </w:numPr>
        <w:spacing w:after="0" w:line="240" w:lineRule="auto"/>
        <w:rPr>
          <w:sz w:val="24"/>
          <w:szCs w:val="24"/>
        </w:rPr>
      </w:pPr>
      <w:r w:rsidRPr="007F3230">
        <w:rPr>
          <w:sz w:val="24"/>
          <w:szCs w:val="24"/>
        </w:rPr>
        <w:t>O</w:t>
      </w:r>
      <w:r w:rsidR="009B631A" w:rsidRPr="007F3230">
        <w:rPr>
          <w:sz w:val="24"/>
          <w:szCs w:val="24"/>
        </w:rPr>
        <w:t>bservations of teaching provide instructors with constructive, meaningful and actionable feedback to continually improve their instructional practices and skills to maximize student learning and impact.​</w:t>
      </w:r>
    </w:p>
    <w:p w14:paraId="1BF17DBE" w14:textId="77777777" w:rsidR="00976411" w:rsidRPr="007F3230" w:rsidRDefault="00976411" w:rsidP="009B631A">
      <w:pPr>
        <w:pStyle w:val="ListBullet2"/>
        <w:numPr>
          <w:ilvl w:val="0"/>
          <w:numId w:val="0"/>
        </w:numPr>
        <w:spacing w:after="0" w:line="240" w:lineRule="auto"/>
        <w:rPr>
          <w:sz w:val="24"/>
          <w:szCs w:val="24"/>
        </w:rPr>
      </w:pPr>
    </w:p>
    <w:p w14:paraId="14754AAC" w14:textId="493F9A3D" w:rsidR="00976411" w:rsidRPr="007F3230" w:rsidRDefault="00976411" w:rsidP="009B631A">
      <w:pPr>
        <w:pStyle w:val="ListBullet2"/>
        <w:numPr>
          <w:ilvl w:val="0"/>
          <w:numId w:val="0"/>
        </w:numPr>
        <w:spacing w:after="0" w:line="240" w:lineRule="auto"/>
        <w:rPr>
          <w:sz w:val="24"/>
          <w:szCs w:val="24"/>
        </w:rPr>
      </w:pPr>
      <w:r w:rsidRPr="007F3230">
        <w:rPr>
          <w:sz w:val="24"/>
          <w:szCs w:val="24"/>
        </w:rPr>
        <w:t xml:space="preserve">Broadly, observations of teaching refer to a structured process in which an individual, such as a peer, supervisor, expert, or student not enrolled in the course, watches a faculty member's instructional session (in person or </w:t>
      </w:r>
      <w:proofErr w:type="gramStart"/>
      <w:r w:rsidR="00BD2383" w:rsidRPr="007F3230">
        <w:rPr>
          <w:sz w:val="24"/>
          <w:szCs w:val="24"/>
        </w:rPr>
        <w:t>online; live</w:t>
      </w:r>
      <w:proofErr w:type="gramEnd"/>
      <w:r w:rsidR="00BD2383" w:rsidRPr="007F3230">
        <w:rPr>
          <w:sz w:val="24"/>
          <w:szCs w:val="24"/>
        </w:rPr>
        <w:t xml:space="preserve"> </w:t>
      </w:r>
      <w:r w:rsidRPr="007F3230">
        <w:rPr>
          <w:sz w:val="24"/>
          <w:szCs w:val="24"/>
        </w:rPr>
        <w:t>or recorded) to gather evidence about teaching practices, classroom engagement, content delivery, and learning environment.</w:t>
      </w:r>
    </w:p>
    <w:p w14:paraId="1F8B55A2" w14:textId="77777777" w:rsidR="009B631A" w:rsidRPr="007F3230" w:rsidRDefault="009B631A" w:rsidP="009B631A">
      <w:pPr>
        <w:pStyle w:val="ListBullet2"/>
        <w:numPr>
          <w:ilvl w:val="0"/>
          <w:numId w:val="0"/>
        </w:numPr>
        <w:spacing w:after="0" w:line="240" w:lineRule="auto"/>
        <w:rPr>
          <w:sz w:val="24"/>
          <w:szCs w:val="24"/>
        </w:rPr>
      </w:pPr>
    </w:p>
    <w:p w14:paraId="6615FB64" w14:textId="161D999D" w:rsidR="009B631A" w:rsidRPr="007F3230" w:rsidRDefault="009B631A" w:rsidP="00BB4754">
      <w:pPr>
        <w:pStyle w:val="ListBullet2"/>
        <w:numPr>
          <w:ilvl w:val="0"/>
          <w:numId w:val="0"/>
        </w:numPr>
        <w:spacing w:after="0" w:line="240" w:lineRule="auto"/>
        <w:rPr>
          <w:sz w:val="24"/>
          <w:szCs w:val="24"/>
        </w:rPr>
      </w:pPr>
      <w:r w:rsidRPr="007F3230">
        <w:rPr>
          <w:sz w:val="24"/>
          <w:szCs w:val="24"/>
        </w:rPr>
        <w:t xml:space="preserve">Elements of </w:t>
      </w:r>
      <w:r w:rsidR="00486AA8" w:rsidRPr="007F3230">
        <w:rPr>
          <w:sz w:val="24"/>
          <w:szCs w:val="24"/>
        </w:rPr>
        <w:t xml:space="preserve">the </w:t>
      </w:r>
      <w:r w:rsidR="00976411" w:rsidRPr="007F3230">
        <w:rPr>
          <w:sz w:val="24"/>
          <w:szCs w:val="24"/>
        </w:rPr>
        <w:t xml:space="preserve">teaching </w:t>
      </w:r>
      <w:r w:rsidRPr="007F3230">
        <w:rPr>
          <w:sz w:val="24"/>
          <w:szCs w:val="24"/>
        </w:rPr>
        <w:t>observation</w:t>
      </w:r>
      <w:r w:rsidR="00486AA8" w:rsidRPr="007F3230">
        <w:rPr>
          <w:sz w:val="24"/>
          <w:szCs w:val="24"/>
        </w:rPr>
        <w:t xml:space="preserve"> process</w:t>
      </w:r>
      <w:r w:rsidRPr="007F3230">
        <w:rPr>
          <w:sz w:val="24"/>
          <w:szCs w:val="24"/>
        </w:rPr>
        <w:t xml:space="preserve"> include</w:t>
      </w:r>
      <w:r w:rsidR="00BB4754" w:rsidRPr="007F3230">
        <w:rPr>
          <w:sz w:val="24"/>
          <w:szCs w:val="24"/>
        </w:rPr>
        <w:t xml:space="preserve"> having a p</w:t>
      </w:r>
      <w:r w:rsidRPr="007F3230">
        <w:rPr>
          <w:sz w:val="24"/>
          <w:szCs w:val="24"/>
        </w:rPr>
        <w:t>re-observation meeting</w:t>
      </w:r>
      <w:r w:rsidR="00BB4754" w:rsidRPr="007F3230">
        <w:rPr>
          <w:sz w:val="24"/>
          <w:szCs w:val="24"/>
        </w:rPr>
        <w:t>, teaching o</w:t>
      </w:r>
      <w:r w:rsidRPr="007F3230">
        <w:rPr>
          <w:sz w:val="24"/>
          <w:szCs w:val="24"/>
        </w:rPr>
        <w:t>bservation using scripting</w:t>
      </w:r>
      <w:r w:rsidR="00BB4754" w:rsidRPr="007F3230">
        <w:rPr>
          <w:sz w:val="24"/>
          <w:szCs w:val="24"/>
        </w:rPr>
        <w:t>, a p</w:t>
      </w:r>
      <w:r w:rsidRPr="007F3230">
        <w:rPr>
          <w:sz w:val="24"/>
          <w:szCs w:val="24"/>
        </w:rPr>
        <w:t>ost-observation form</w:t>
      </w:r>
      <w:r w:rsidR="00BB4754" w:rsidRPr="007F3230">
        <w:rPr>
          <w:sz w:val="24"/>
          <w:szCs w:val="24"/>
        </w:rPr>
        <w:t>, and a p</w:t>
      </w:r>
      <w:r w:rsidRPr="007F3230">
        <w:rPr>
          <w:sz w:val="24"/>
          <w:szCs w:val="24"/>
        </w:rPr>
        <w:t>ost-observation meeting</w:t>
      </w:r>
      <w:r w:rsidR="00BB4754" w:rsidRPr="007F3230">
        <w:rPr>
          <w:sz w:val="24"/>
          <w:szCs w:val="24"/>
        </w:rPr>
        <w:t>.</w:t>
      </w:r>
    </w:p>
    <w:bookmarkEnd w:id="8"/>
    <w:p w14:paraId="6AF5ADD5" w14:textId="77777777" w:rsidR="009B631A" w:rsidRPr="007F3230" w:rsidRDefault="009B631A" w:rsidP="009B631A">
      <w:pPr>
        <w:pStyle w:val="ListBullet2"/>
        <w:numPr>
          <w:ilvl w:val="0"/>
          <w:numId w:val="0"/>
        </w:numPr>
        <w:spacing w:after="0" w:line="240" w:lineRule="auto"/>
        <w:rPr>
          <w:sz w:val="24"/>
          <w:szCs w:val="24"/>
        </w:rPr>
      </w:pPr>
    </w:p>
    <w:p w14:paraId="10E0BD50" w14:textId="3DCFD173" w:rsidR="009B631A" w:rsidRPr="007F3230" w:rsidRDefault="009B631A" w:rsidP="009B631A">
      <w:pPr>
        <w:pStyle w:val="ListBullet2"/>
        <w:numPr>
          <w:ilvl w:val="0"/>
          <w:numId w:val="0"/>
        </w:numPr>
        <w:spacing w:after="0" w:line="240" w:lineRule="auto"/>
        <w:rPr>
          <w:color w:val="0070C0"/>
          <w:sz w:val="24"/>
          <w:szCs w:val="24"/>
        </w:rPr>
      </w:pPr>
      <w:r w:rsidRPr="007F3230">
        <w:rPr>
          <w:sz w:val="24"/>
          <w:szCs w:val="24"/>
        </w:rPr>
        <w:t xml:space="preserve">For more information about peer observations, please refer to </w:t>
      </w:r>
      <w:r w:rsidR="00486AA8" w:rsidRPr="007F3230">
        <w:rPr>
          <w:sz w:val="24"/>
          <w:szCs w:val="24"/>
        </w:rPr>
        <w:t>the</w:t>
      </w:r>
      <w:r w:rsidRPr="007F3230">
        <w:rPr>
          <w:sz w:val="24"/>
          <w:szCs w:val="24"/>
        </w:rPr>
        <w:t xml:space="preserve"> Center for Teaching, Learning, and Assessment</w:t>
      </w:r>
      <w:r w:rsidR="00543774">
        <w:rPr>
          <w:sz w:val="24"/>
          <w:szCs w:val="24"/>
        </w:rPr>
        <w:t>'</w:t>
      </w:r>
      <w:r w:rsidRPr="007F3230">
        <w:rPr>
          <w:sz w:val="24"/>
          <w:szCs w:val="24"/>
        </w:rPr>
        <w:t xml:space="preserve">s </w:t>
      </w:r>
      <w:hyperlink r:id="rId8" w:history="1">
        <w:r w:rsidR="00976411" w:rsidRPr="007F3230">
          <w:rPr>
            <w:rStyle w:val="Hyperlink"/>
            <w:sz w:val="24"/>
            <w:szCs w:val="24"/>
          </w:rPr>
          <w:t>Peer Teaching Observation Program</w:t>
        </w:r>
      </w:hyperlink>
      <w:r w:rsidR="00976411" w:rsidRPr="007F3230">
        <w:rPr>
          <w:color w:val="0070C0"/>
          <w:sz w:val="24"/>
          <w:szCs w:val="24"/>
        </w:rPr>
        <w:t xml:space="preserve">. </w:t>
      </w:r>
    </w:p>
    <w:p w14:paraId="6A2047E3" w14:textId="77777777" w:rsidR="00036614" w:rsidRDefault="00036614" w:rsidP="00D5187A">
      <w:pPr>
        <w:pStyle w:val="ListBullet"/>
        <w:numPr>
          <w:ilvl w:val="0"/>
          <w:numId w:val="0"/>
        </w:numPr>
        <w:spacing w:after="0" w:line="240" w:lineRule="auto"/>
        <w:ind w:left="360" w:hanging="360"/>
      </w:pPr>
    </w:p>
    <w:p w14:paraId="562C79D1" w14:textId="6750841B" w:rsidR="00F64931" w:rsidRPr="00A325E7" w:rsidRDefault="00AC7641" w:rsidP="007F3230">
      <w:pPr>
        <w:pStyle w:val="Heading3"/>
      </w:pPr>
      <w:r>
        <w:t xml:space="preserve">Evidence Collection </w:t>
      </w:r>
      <w:r w:rsidRPr="00A325E7">
        <w:t xml:space="preserve">Option 2: </w:t>
      </w:r>
      <w:r w:rsidR="00BD2383">
        <w:t xml:space="preserve">Review and </w:t>
      </w:r>
      <w:r w:rsidR="00F70601">
        <w:t>Assessment</w:t>
      </w:r>
      <w:r w:rsidR="00F70601" w:rsidRPr="00A325E7">
        <w:t xml:space="preserve"> </w:t>
      </w:r>
      <w:r w:rsidRPr="00A325E7">
        <w:t>of Teaching Artifacts</w:t>
      </w:r>
    </w:p>
    <w:p w14:paraId="588E49F8" w14:textId="77777777" w:rsidR="00BD2383" w:rsidRDefault="00BD2383" w:rsidP="00BD2383">
      <w:pPr>
        <w:pStyle w:val="ListBullet2"/>
        <w:numPr>
          <w:ilvl w:val="0"/>
          <w:numId w:val="0"/>
        </w:numPr>
        <w:spacing w:after="0" w:line="240" w:lineRule="auto"/>
        <w:rPr>
          <w:color w:val="0070C0"/>
        </w:rPr>
      </w:pPr>
    </w:p>
    <w:p w14:paraId="0777DD0E" w14:textId="50D88236" w:rsidR="00BD2383" w:rsidRPr="007F3230" w:rsidRDefault="00BD2383" w:rsidP="00BD2383">
      <w:pPr>
        <w:pStyle w:val="ListBullet2"/>
        <w:numPr>
          <w:ilvl w:val="0"/>
          <w:numId w:val="0"/>
        </w:numPr>
        <w:spacing w:after="0" w:line="240" w:lineRule="auto"/>
        <w:rPr>
          <w:sz w:val="24"/>
          <w:szCs w:val="24"/>
        </w:rPr>
      </w:pPr>
      <w:r w:rsidRPr="007F3230">
        <w:rPr>
          <w:sz w:val="24"/>
          <w:szCs w:val="24"/>
        </w:rPr>
        <w:t xml:space="preserve">Teaching artifacts refer to teaching materials that instructors typically provide to students, such as syllabi, assignments, assessments, course content, and recorded lectures. A review and assessment of teaching artifacts is an opportunity to have others </w:t>
      </w:r>
      <w:r w:rsidR="00486AA8" w:rsidRPr="007F3230">
        <w:rPr>
          <w:sz w:val="24"/>
          <w:szCs w:val="24"/>
        </w:rPr>
        <w:t>analyze teaching artifacts for pedagogical structure, innovations, and inclusive practices. Thoughtfully examining teaching artifacts provides insights into the classroom climate that the instructor fosters.</w:t>
      </w:r>
    </w:p>
    <w:p w14:paraId="1C6825C0" w14:textId="77777777" w:rsidR="00BD2383" w:rsidRPr="007F3230" w:rsidRDefault="00BD2383" w:rsidP="00BD2383">
      <w:pPr>
        <w:pStyle w:val="ListBullet2"/>
        <w:numPr>
          <w:ilvl w:val="0"/>
          <w:numId w:val="0"/>
        </w:numPr>
        <w:spacing w:after="0" w:line="240" w:lineRule="auto"/>
        <w:rPr>
          <w:sz w:val="24"/>
          <w:szCs w:val="24"/>
        </w:rPr>
      </w:pPr>
    </w:p>
    <w:p w14:paraId="627CEB0C" w14:textId="78F9BE3A" w:rsidR="00BD2383" w:rsidRPr="007F3230" w:rsidRDefault="00BD2383" w:rsidP="00BD2383">
      <w:pPr>
        <w:pStyle w:val="ListBullet2"/>
        <w:numPr>
          <w:ilvl w:val="0"/>
          <w:numId w:val="0"/>
        </w:numPr>
        <w:spacing w:after="0" w:line="240" w:lineRule="auto"/>
        <w:rPr>
          <w:sz w:val="24"/>
          <w:szCs w:val="24"/>
        </w:rPr>
      </w:pPr>
      <w:r w:rsidRPr="007F3230">
        <w:rPr>
          <w:sz w:val="24"/>
          <w:szCs w:val="24"/>
        </w:rPr>
        <w:t xml:space="preserve">Broadly, the review of teaching artifacts refers to a reflective examination of instructional materials, often conducted by peers to provide formative feedback or ensure alignment with academic expectations. The corresponding assessment of teaching artifacts </w:t>
      </w:r>
      <w:r w:rsidR="00486AA8" w:rsidRPr="007F3230">
        <w:rPr>
          <w:sz w:val="24"/>
          <w:szCs w:val="24"/>
        </w:rPr>
        <w:t>refers to</w:t>
      </w:r>
      <w:r w:rsidRPr="007F3230">
        <w:rPr>
          <w:sz w:val="24"/>
          <w:szCs w:val="24"/>
        </w:rPr>
        <w:t xml:space="preserve"> </w:t>
      </w:r>
      <w:r w:rsidR="00486AA8" w:rsidRPr="007F3230">
        <w:rPr>
          <w:sz w:val="24"/>
          <w:szCs w:val="24"/>
        </w:rPr>
        <w:t>measuring</w:t>
      </w:r>
      <w:r w:rsidRPr="007F3230">
        <w:rPr>
          <w:sz w:val="24"/>
          <w:szCs w:val="24"/>
        </w:rPr>
        <w:t xml:space="preserve"> specific aspects of teaching</w:t>
      </w:r>
      <w:r w:rsidR="006D1617" w:rsidRPr="007F3230">
        <w:rPr>
          <w:sz w:val="24"/>
          <w:szCs w:val="24"/>
        </w:rPr>
        <w:t xml:space="preserve"> artifacts </w:t>
      </w:r>
      <w:r w:rsidR="00486AA8" w:rsidRPr="007F3230">
        <w:rPr>
          <w:sz w:val="24"/>
          <w:szCs w:val="24"/>
        </w:rPr>
        <w:t>against established expectation</w:t>
      </w:r>
      <w:r w:rsidR="006D1617" w:rsidRPr="007F3230">
        <w:rPr>
          <w:sz w:val="24"/>
          <w:szCs w:val="24"/>
        </w:rPr>
        <w:t xml:space="preserve"> standards</w:t>
      </w:r>
      <w:r w:rsidR="00486AA8" w:rsidRPr="007F3230">
        <w:rPr>
          <w:sz w:val="24"/>
          <w:szCs w:val="24"/>
        </w:rPr>
        <w:t xml:space="preserve"> </w:t>
      </w:r>
      <w:r w:rsidRPr="007F3230">
        <w:rPr>
          <w:sz w:val="24"/>
          <w:szCs w:val="24"/>
        </w:rPr>
        <w:t xml:space="preserve">using </w:t>
      </w:r>
      <w:r w:rsidR="00486AA8" w:rsidRPr="007F3230">
        <w:rPr>
          <w:sz w:val="24"/>
          <w:szCs w:val="24"/>
        </w:rPr>
        <w:t xml:space="preserve">a </w:t>
      </w:r>
      <w:r w:rsidRPr="007F3230">
        <w:rPr>
          <w:sz w:val="24"/>
          <w:szCs w:val="24"/>
        </w:rPr>
        <w:t>rubric</w:t>
      </w:r>
      <w:r w:rsidR="00486AA8" w:rsidRPr="007F3230">
        <w:rPr>
          <w:sz w:val="24"/>
          <w:szCs w:val="24"/>
        </w:rPr>
        <w:t>(</w:t>
      </w:r>
      <w:r w:rsidRPr="007F3230">
        <w:rPr>
          <w:sz w:val="24"/>
          <w:szCs w:val="24"/>
        </w:rPr>
        <w:t>s</w:t>
      </w:r>
      <w:r w:rsidR="00486AA8" w:rsidRPr="007F3230">
        <w:rPr>
          <w:sz w:val="24"/>
          <w:szCs w:val="24"/>
        </w:rPr>
        <w:t>)</w:t>
      </w:r>
      <w:r w:rsidRPr="007F3230">
        <w:rPr>
          <w:sz w:val="24"/>
          <w:szCs w:val="24"/>
        </w:rPr>
        <w:t>.</w:t>
      </w:r>
    </w:p>
    <w:p w14:paraId="6D522351" w14:textId="77777777" w:rsidR="00BD2383" w:rsidRPr="007F3230" w:rsidRDefault="00BD2383" w:rsidP="00BD2383">
      <w:pPr>
        <w:pStyle w:val="ListBullet2"/>
        <w:numPr>
          <w:ilvl w:val="0"/>
          <w:numId w:val="0"/>
        </w:numPr>
        <w:spacing w:after="0" w:line="240" w:lineRule="auto"/>
        <w:rPr>
          <w:sz w:val="24"/>
          <w:szCs w:val="24"/>
        </w:rPr>
      </w:pPr>
    </w:p>
    <w:p w14:paraId="7DCDC1E7" w14:textId="558E0728" w:rsidR="00BD2383" w:rsidRPr="007F3230" w:rsidRDefault="00BD2383" w:rsidP="00BB4754">
      <w:pPr>
        <w:pStyle w:val="ListBullet2"/>
        <w:numPr>
          <w:ilvl w:val="0"/>
          <w:numId w:val="0"/>
        </w:numPr>
        <w:spacing w:after="0" w:line="240" w:lineRule="auto"/>
        <w:rPr>
          <w:sz w:val="24"/>
          <w:szCs w:val="24"/>
        </w:rPr>
      </w:pPr>
      <w:r w:rsidRPr="007F3230">
        <w:rPr>
          <w:sz w:val="24"/>
          <w:szCs w:val="24"/>
        </w:rPr>
        <w:t xml:space="preserve">Elements of </w:t>
      </w:r>
      <w:r w:rsidR="00486AA8" w:rsidRPr="007F3230">
        <w:rPr>
          <w:sz w:val="24"/>
          <w:szCs w:val="24"/>
        </w:rPr>
        <w:t xml:space="preserve">the assessment of </w:t>
      </w:r>
      <w:r w:rsidRPr="007F3230">
        <w:rPr>
          <w:sz w:val="24"/>
          <w:szCs w:val="24"/>
        </w:rPr>
        <w:t xml:space="preserve">teaching </w:t>
      </w:r>
      <w:r w:rsidR="00486AA8" w:rsidRPr="007F3230">
        <w:rPr>
          <w:sz w:val="24"/>
          <w:szCs w:val="24"/>
        </w:rPr>
        <w:t>artifacts</w:t>
      </w:r>
      <w:r w:rsidRPr="007F3230">
        <w:rPr>
          <w:sz w:val="24"/>
          <w:szCs w:val="24"/>
        </w:rPr>
        <w:t xml:space="preserve"> </w:t>
      </w:r>
      <w:r w:rsidR="00BB4754" w:rsidRPr="007F3230">
        <w:rPr>
          <w:sz w:val="24"/>
          <w:szCs w:val="24"/>
        </w:rPr>
        <w:t xml:space="preserve">process </w:t>
      </w:r>
      <w:r w:rsidRPr="007F3230">
        <w:rPr>
          <w:sz w:val="24"/>
          <w:szCs w:val="24"/>
        </w:rPr>
        <w:t>include</w:t>
      </w:r>
      <w:r w:rsidR="00BB4754" w:rsidRPr="007F3230">
        <w:rPr>
          <w:sz w:val="24"/>
          <w:szCs w:val="24"/>
        </w:rPr>
        <w:t xml:space="preserve"> c</w:t>
      </w:r>
      <w:r w:rsidR="00486AA8" w:rsidRPr="007F3230">
        <w:rPr>
          <w:sz w:val="24"/>
          <w:szCs w:val="24"/>
        </w:rPr>
        <w:t>ollection of course materials for review and assessment</w:t>
      </w:r>
      <w:r w:rsidR="00BB4754" w:rsidRPr="007F3230">
        <w:rPr>
          <w:sz w:val="24"/>
          <w:szCs w:val="24"/>
        </w:rPr>
        <w:t>, p</w:t>
      </w:r>
      <w:r w:rsidRPr="007F3230">
        <w:rPr>
          <w:sz w:val="24"/>
          <w:szCs w:val="24"/>
        </w:rPr>
        <w:t>re-</w:t>
      </w:r>
      <w:r w:rsidR="00486AA8" w:rsidRPr="007F3230">
        <w:rPr>
          <w:sz w:val="24"/>
          <w:szCs w:val="24"/>
        </w:rPr>
        <w:t>review</w:t>
      </w:r>
      <w:r w:rsidRPr="007F3230">
        <w:rPr>
          <w:sz w:val="24"/>
          <w:szCs w:val="24"/>
        </w:rPr>
        <w:t xml:space="preserve"> meeting</w:t>
      </w:r>
      <w:r w:rsidR="00BB4754" w:rsidRPr="007F3230">
        <w:rPr>
          <w:sz w:val="24"/>
          <w:szCs w:val="24"/>
        </w:rPr>
        <w:t>, r</w:t>
      </w:r>
      <w:r w:rsidR="00486AA8" w:rsidRPr="007F3230">
        <w:rPr>
          <w:sz w:val="24"/>
          <w:szCs w:val="24"/>
        </w:rPr>
        <w:t>eview</w:t>
      </w:r>
      <w:r w:rsidRPr="007F3230">
        <w:rPr>
          <w:sz w:val="24"/>
          <w:szCs w:val="24"/>
        </w:rPr>
        <w:t xml:space="preserve"> using scripting</w:t>
      </w:r>
      <w:r w:rsidR="00BB4754" w:rsidRPr="007F3230">
        <w:rPr>
          <w:sz w:val="24"/>
          <w:szCs w:val="24"/>
        </w:rPr>
        <w:t>, p</w:t>
      </w:r>
      <w:r w:rsidRPr="007F3230">
        <w:rPr>
          <w:sz w:val="24"/>
          <w:szCs w:val="24"/>
        </w:rPr>
        <w:t>ost-</w:t>
      </w:r>
      <w:r w:rsidR="00486AA8" w:rsidRPr="007F3230">
        <w:rPr>
          <w:sz w:val="24"/>
          <w:szCs w:val="24"/>
        </w:rPr>
        <w:t>review assessment</w:t>
      </w:r>
      <w:r w:rsidRPr="007F3230">
        <w:rPr>
          <w:sz w:val="24"/>
          <w:szCs w:val="24"/>
        </w:rPr>
        <w:t xml:space="preserve"> form</w:t>
      </w:r>
      <w:r w:rsidR="00BB4754" w:rsidRPr="007F3230">
        <w:rPr>
          <w:sz w:val="24"/>
          <w:szCs w:val="24"/>
        </w:rPr>
        <w:t>, and p</w:t>
      </w:r>
      <w:r w:rsidRPr="007F3230">
        <w:rPr>
          <w:sz w:val="24"/>
          <w:szCs w:val="24"/>
        </w:rPr>
        <w:t>ost-</w:t>
      </w:r>
      <w:r w:rsidR="00486AA8" w:rsidRPr="007F3230">
        <w:rPr>
          <w:sz w:val="24"/>
          <w:szCs w:val="24"/>
        </w:rPr>
        <w:t>review and assessment</w:t>
      </w:r>
      <w:r w:rsidRPr="007F3230">
        <w:rPr>
          <w:sz w:val="24"/>
          <w:szCs w:val="24"/>
        </w:rPr>
        <w:t xml:space="preserve"> meeting</w:t>
      </w:r>
      <w:r w:rsidR="00BB4754" w:rsidRPr="007F3230">
        <w:rPr>
          <w:sz w:val="24"/>
          <w:szCs w:val="24"/>
        </w:rPr>
        <w:t>.</w:t>
      </w:r>
    </w:p>
    <w:p w14:paraId="5B5A6796" w14:textId="77777777" w:rsidR="00486AA8" w:rsidRPr="007F3230" w:rsidRDefault="00486AA8" w:rsidP="00486AA8">
      <w:pPr>
        <w:pStyle w:val="ListBullet2"/>
        <w:numPr>
          <w:ilvl w:val="0"/>
          <w:numId w:val="0"/>
        </w:numPr>
        <w:spacing w:after="0" w:line="240" w:lineRule="auto"/>
        <w:rPr>
          <w:color w:val="0070C0"/>
          <w:sz w:val="24"/>
          <w:szCs w:val="24"/>
        </w:rPr>
      </w:pPr>
    </w:p>
    <w:p w14:paraId="72B81DAA" w14:textId="5196CE56" w:rsidR="00486AA8" w:rsidRPr="007F3230" w:rsidRDefault="00486AA8" w:rsidP="00486AA8">
      <w:pPr>
        <w:pStyle w:val="ListBullet2"/>
        <w:numPr>
          <w:ilvl w:val="0"/>
          <w:numId w:val="0"/>
        </w:numPr>
        <w:spacing w:after="0" w:line="240" w:lineRule="auto"/>
        <w:rPr>
          <w:color w:val="0070C0"/>
          <w:sz w:val="24"/>
          <w:szCs w:val="24"/>
        </w:rPr>
      </w:pPr>
      <w:r w:rsidRPr="007F3230">
        <w:rPr>
          <w:sz w:val="24"/>
          <w:szCs w:val="24"/>
        </w:rPr>
        <w:t xml:space="preserve">For more information about reviewing and assessing artifacts for online courses, please refer to the </w:t>
      </w:r>
      <w:r w:rsidR="009C26A7" w:rsidRPr="007F3230">
        <w:rPr>
          <w:sz w:val="24"/>
          <w:szCs w:val="24"/>
        </w:rPr>
        <w:t>Office of Instructional Design</w:t>
      </w:r>
      <w:r w:rsidR="00543774">
        <w:rPr>
          <w:sz w:val="24"/>
          <w:szCs w:val="24"/>
        </w:rPr>
        <w:t>'</w:t>
      </w:r>
      <w:r w:rsidR="009C26A7" w:rsidRPr="007F3230">
        <w:rPr>
          <w:sz w:val="24"/>
          <w:szCs w:val="24"/>
        </w:rPr>
        <w:t>s</w:t>
      </w:r>
      <w:r w:rsidRPr="007F3230">
        <w:rPr>
          <w:sz w:val="24"/>
          <w:szCs w:val="24"/>
        </w:rPr>
        <w:t xml:space="preserve"> </w:t>
      </w:r>
      <w:hyperlink r:id="rId9" w:history="1">
        <w:r w:rsidR="009C26A7" w:rsidRPr="007F3230">
          <w:rPr>
            <w:rStyle w:val="Hyperlink"/>
            <w:sz w:val="24"/>
            <w:szCs w:val="24"/>
          </w:rPr>
          <w:t>Course Quality Initiative</w:t>
        </w:r>
      </w:hyperlink>
      <w:r w:rsidRPr="007F3230">
        <w:rPr>
          <w:color w:val="0070C0"/>
          <w:sz w:val="24"/>
          <w:szCs w:val="24"/>
        </w:rPr>
        <w:t xml:space="preserve">. </w:t>
      </w:r>
    </w:p>
    <w:p w14:paraId="463750AF" w14:textId="77777777" w:rsidR="00036614" w:rsidRDefault="00036614" w:rsidP="00D5187A">
      <w:pPr>
        <w:pStyle w:val="ListBullet"/>
        <w:numPr>
          <w:ilvl w:val="0"/>
          <w:numId w:val="0"/>
        </w:numPr>
        <w:spacing w:after="0" w:line="240" w:lineRule="auto"/>
        <w:ind w:left="360" w:hanging="360"/>
      </w:pPr>
    </w:p>
    <w:p w14:paraId="5484DCC0" w14:textId="16E8EF3B" w:rsidR="003B0E7D" w:rsidRPr="00A325E7" w:rsidRDefault="00AC7641" w:rsidP="007F3230">
      <w:pPr>
        <w:pStyle w:val="Heading3"/>
      </w:pPr>
      <w:r>
        <w:t xml:space="preserve">Evidence Collection </w:t>
      </w:r>
      <w:r w:rsidR="003B0E7D" w:rsidRPr="00A325E7">
        <w:t xml:space="preserve">Option </w:t>
      </w:r>
      <w:r w:rsidR="003B0E7D">
        <w:t>3</w:t>
      </w:r>
      <w:r w:rsidR="003B0E7D" w:rsidRPr="00A325E7">
        <w:t xml:space="preserve">: </w:t>
      </w:r>
      <w:r w:rsidR="00F70601">
        <w:t>Assessment</w:t>
      </w:r>
      <w:r w:rsidR="00F70601" w:rsidRPr="00A325E7">
        <w:t xml:space="preserve"> </w:t>
      </w:r>
      <w:r w:rsidR="003B0E7D" w:rsidRPr="00A325E7">
        <w:t xml:space="preserve">of </w:t>
      </w:r>
      <w:r w:rsidR="003B0E7D">
        <w:t xml:space="preserve">Student </w:t>
      </w:r>
      <w:r w:rsidR="001E099A">
        <w:t xml:space="preserve">Learning </w:t>
      </w:r>
      <w:r w:rsidR="00BB4754">
        <w:t>Outcomes</w:t>
      </w:r>
    </w:p>
    <w:p w14:paraId="6ABDEB76" w14:textId="77777777" w:rsidR="001E099A" w:rsidRDefault="001E099A" w:rsidP="001E099A">
      <w:pPr>
        <w:pStyle w:val="ListBullet2"/>
        <w:numPr>
          <w:ilvl w:val="0"/>
          <w:numId w:val="0"/>
        </w:numPr>
        <w:spacing w:after="0" w:line="240" w:lineRule="auto"/>
        <w:rPr>
          <w:color w:val="0070C0"/>
        </w:rPr>
      </w:pPr>
    </w:p>
    <w:p w14:paraId="3F7E207A" w14:textId="50BD1A83" w:rsidR="001E099A" w:rsidRPr="007F3230" w:rsidRDefault="001E099A" w:rsidP="001E099A">
      <w:pPr>
        <w:pStyle w:val="ListBullet2"/>
        <w:numPr>
          <w:ilvl w:val="0"/>
          <w:numId w:val="0"/>
        </w:numPr>
        <w:spacing w:after="0" w:line="240" w:lineRule="auto"/>
        <w:rPr>
          <w:sz w:val="24"/>
          <w:szCs w:val="24"/>
        </w:rPr>
      </w:pPr>
      <w:r w:rsidRPr="007F3230">
        <w:rPr>
          <w:sz w:val="24"/>
          <w:szCs w:val="24"/>
        </w:rPr>
        <w:t xml:space="preserve">Student outcomes assessment refers to the </w:t>
      </w:r>
      <w:r w:rsidR="00543774">
        <w:rPr>
          <w:sz w:val="24"/>
          <w:szCs w:val="24"/>
        </w:rPr>
        <w:t>"</w:t>
      </w:r>
      <w:r w:rsidRPr="007F3230">
        <w:rPr>
          <w:sz w:val="24"/>
          <w:szCs w:val="24"/>
        </w:rPr>
        <w:t>process of gathering and discussing information from multiple and diverse sources in order to develop a deep understanding of what students know, understand, and can do with their knowledge as a result of their educational experience; the process culminates when assessment results are used to improve student learning,</w:t>
      </w:r>
      <w:r w:rsidR="00543774">
        <w:rPr>
          <w:sz w:val="24"/>
          <w:szCs w:val="24"/>
        </w:rPr>
        <w:t>"</w:t>
      </w:r>
      <w:r w:rsidRPr="007F3230">
        <w:rPr>
          <w:sz w:val="24"/>
          <w:szCs w:val="24"/>
        </w:rPr>
        <w:t xml:space="preserve"> (Huba &amp; Freed, 1999; p. 684). </w:t>
      </w:r>
      <w:bookmarkStart w:id="9" w:name="_Hlk198208145"/>
      <w:r w:rsidRPr="007F3230">
        <w:rPr>
          <w:sz w:val="24"/>
          <w:szCs w:val="24"/>
        </w:rPr>
        <w:t>Evidence of student learning outcomes may include indirect assessment of student learning, such as ratings and comments from anonymous student evaluations of teaching or comments from community partner feedback, and/or direct assessments of student learning, such as summaries of student performance on select assignments, academic performance metrics, or course metrics.</w:t>
      </w:r>
    </w:p>
    <w:bookmarkEnd w:id="9"/>
    <w:p w14:paraId="6CEA26FE" w14:textId="77777777" w:rsidR="001E099A" w:rsidRPr="007F3230" w:rsidRDefault="001E099A" w:rsidP="001E099A">
      <w:pPr>
        <w:pStyle w:val="ListBullet2"/>
        <w:numPr>
          <w:ilvl w:val="0"/>
          <w:numId w:val="0"/>
        </w:numPr>
        <w:spacing w:after="0" w:line="240" w:lineRule="auto"/>
        <w:rPr>
          <w:sz w:val="24"/>
          <w:szCs w:val="24"/>
        </w:rPr>
      </w:pPr>
    </w:p>
    <w:p w14:paraId="6232C615" w14:textId="1E9F26F6" w:rsidR="001E099A" w:rsidRPr="007F3230" w:rsidRDefault="001E099A" w:rsidP="001E099A">
      <w:pPr>
        <w:pStyle w:val="ListBullet2"/>
        <w:numPr>
          <w:ilvl w:val="0"/>
          <w:numId w:val="0"/>
        </w:numPr>
        <w:spacing w:after="0" w:line="240" w:lineRule="auto"/>
        <w:rPr>
          <w:sz w:val="24"/>
          <w:szCs w:val="24"/>
        </w:rPr>
      </w:pPr>
      <w:r w:rsidRPr="007F3230">
        <w:rPr>
          <w:sz w:val="24"/>
          <w:szCs w:val="24"/>
        </w:rPr>
        <w:t xml:space="preserve">Assessment of </w:t>
      </w:r>
      <w:r w:rsidR="00A35BD9" w:rsidRPr="007F3230">
        <w:rPr>
          <w:sz w:val="24"/>
          <w:szCs w:val="24"/>
        </w:rPr>
        <w:t xml:space="preserve">student learning </w:t>
      </w:r>
      <w:r w:rsidRPr="007F3230">
        <w:rPr>
          <w:sz w:val="24"/>
          <w:szCs w:val="24"/>
        </w:rPr>
        <w:t xml:space="preserve">is an opportunity to have others </w:t>
      </w:r>
      <w:r w:rsidR="00A35BD9" w:rsidRPr="007F3230">
        <w:rPr>
          <w:sz w:val="24"/>
          <w:szCs w:val="24"/>
        </w:rPr>
        <w:t xml:space="preserve">evaluate the </w:t>
      </w:r>
      <w:r w:rsidR="005F0899" w:rsidRPr="007F3230">
        <w:rPr>
          <w:sz w:val="24"/>
          <w:szCs w:val="24"/>
        </w:rPr>
        <w:t xml:space="preserve">educational </w:t>
      </w:r>
      <w:r w:rsidR="00A35BD9" w:rsidRPr="007F3230">
        <w:rPr>
          <w:sz w:val="24"/>
          <w:szCs w:val="24"/>
        </w:rPr>
        <w:t>effectiveness of instructional pedagogies</w:t>
      </w:r>
      <w:r w:rsidRPr="007F3230">
        <w:rPr>
          <w:sz w:val="24"/>
          <w:szCs w:val="24"/>
        </w:rPr>
        <w:t xml:space="preserve">. Thoughtfully examining </w:t>
      </w:r>
      <w:r w:rsidR="00A35BD9" w:rsidRPr="007F3230">
        <w:rPr>
          <w:sz w:val="24"/>
          <w:szCs w:val="24"/>
        </w:rPr>
        <w:t>student learning outcomes</w:t>
      </w:r>
      <w:r w:rsidRPr="007F3230">
        <w:rPr>
          <w:sz w:val="24"/>
          <w:szCs w:val="24"/>
        </w:rPr>
        <w:t xml:space="preserve"> provides insights into </w:t>
      </w:r>
      <w:r w:rsidR="00A35BD9" w:rsidRPr="007F3230">
        <w:rPr>
          <w:sz w:val="24"/>
          <w:szCs w:val="24"/>
        </w:rPr>
        <w:t>intended and actual achievement of student learning through their educational experiences.</w:t>
      </w:r>
    </w:p>
    <w:p w14:paraId="310560D8" w14:textId="77777777" w:rsidR="005F0899" w:rsidRPr="007F3230" w:rsidRDefault="005F0899" w:rsidP="001E099A">
      <w:pPr>
        <w:pStyle w:val="ListBullet2"/>
        <w:numPr>
          <w:ilvl w:val="0"/>
          <w:numId w:val="0"/>
        </w:numPr>
        <w:spacing w:after="0" w:line="240" w:lineRule="auto"/>
        <w:rPr>
          <w:sz w:val="24"/>
          <w:szCs w:val="24"/>
        </w:rPr>
      </w:pPr>
    </w:p>
    <w:p w14:paraId="463EDCC0" w14:textId="20CCE967" w:rsidR="005F0899" w:rsidRPr="007F3230" w:rsidRDefault="005F0899" w:rsidP="001E099A">
      <w:pPr>
        <w:pStyle w:val="ListBullet2"/>
        <w:numPr>
          <w:ilvl w:val="0"/>
          <w:numId w:val="0"/>
        </w:numPr>
        <w:spacing w:after="0" w:line="240" w:lineRule="auto"/>
        <w:rPr>
          <w:sz w:val="24"/>
          <w:szCs w:val="24"/>
        </w:rPr>
      </w:pPr>
      <w:r w:rsidRPr="007F3230">
        <w:rPr>
          <w:sz w:val="24"/>
          <w:szCs w:val="24"/>
        </w:rPr>
        <w:t xml:space="preserve">Broadly, the review of </w:t>
      </w:r>
      <w:r w:rsidR="006D1617" w:rsidRPr="007F3230">
        <w:rPr>
          <w:sz w:val="24"/>
          <w:szCs w:val="24"/>
        </w:rPr>
        <w:t>student learning</w:t>
      </w:r>
      <w:r w:rsidRPr="007F3230">
        <w:rPr>
          <w:sz w:val="24"/>
          <w:szCs w:val="24"/>
        </w:rPr>
        <w:t xml:space="preserve"> refers to a reflective examination of </w:t>
      </w:r>
      <w:r w:rsidR="006D1617" w:rsidRPr="007F3230">
        <w:rPr>
          <w:sz w:val="24"/>
          <w:szCs w:val="24"/>
        </w:rPr>
        <w:t>evidence of student learning outcomes</w:t>
      </w:r>
      <w:r w:rsidRPr="007F3230">
        <w:rPr>
          <w:sz w:val="24"/>
          <w:szCs w:val="24"/>
        </w:rPr>
        <w:t xml:space="preserve">, often conducted by peers to provide formative feedback or ensure alignment with academic expectations. The corresponding assessment of </w:t>
      </w:r>
      <w:r w:rsidR="006D1617" w:rsidRPr="007F3230">
        <w:rPr>
          <w:sz w:val="24"/>
          <w:szCs w:val="24"/>
        </w:rPr>
        <w:t xml:space="preserve">student learning outcomes </w:t>
      </w:r>
      <w:r w:rsidRPr="007F3230">
        <w:rPr>
          <w:sz w:val="24"/>
          <w:szCs w:val="24"/>
        </w:rPr>
        <w:t xml:space="preserve">refers to measuring specific aspects of </w:t>
      </w:r>
      <w:r w:rsidR="006D1617" w:rsidRPr="007F3230">
        <w:rPr>
          <w:sz w:val="24"/>
          <w:szCs w:val="24"/>
        </w:rPr>
        <w:t xml:space="preserve">student learning </w:t>
      </w:r>
      <w:r w:rsidRPr="007F3230">
        <w:rPr>
          <w:sz w:val="24"/>
          <w:szCs w:val="24"/>
        </w:rPr>
        <w:t>against established expectation</w:t>
      </w:r>
      <w:r w:rsidR="006D1617" w:rsidRPr="007F3230">
        <w:rPr>
          <w:sz w:val="24"/>
          <w:szCs w:val="24"/>
        </w:rPr>
        <w:t xml:space="preserve"> standards</w:t>
      </w:r>
      <w:r w:rsidRPr="007F3230">
        <w:rPr>
          <w:sz w:val="24"/>
          <w:szCs w:val="24"/>
        </w:rPr>
        <w:t xml:space="preserve"> using a rubric(s).</w:t>
      </w:r>
    </w:p>
    <w:p w14:paraId="2692EE23" w14:textId="77777777" w:rsidR="001E099A" w:rsidRPr="007F3230" w:rsidRDefault="001E099A" w:rsidP="001E099A">
      <w:pPr>
        <w:pStyle w:val="ListBullet2"/>
        <w:numPr>
          <w:ilvl w:val="0"/>
          <w:numId w:val="0"/>
        </w:numPr>
        <w:spacing w:after="0" w:line="240" w:lineRule="auto"/>
        <w:rPr>
          <w:sz w:val="24"/>
          <w:szCs w:val="24"/>
        </w:rPr>
      </w:pPr>
    </w:p>
    <w:p w14:paraId="6DC67680" w14:textId="33573BF4" w:rsidR="001E099A" w:rsidRPr="007F3230" w:rsidRDefault="001E099A" w:rsidP="001E099A">
      <w:pPr>
        <w:pStyle w:val="ListBullet2"/>
        <w:numPr>
          <w:ilvl w:val="0"/>
          <w:numId w:val="0"/>
        </w:numPr>
        <w:spacing w:after="0" w:line="240" w:lineRule="auto"/>
        <w:rPr>
          <w:sz w:val="24"/>
          <w:szCs w:val="24"/>
        </w:rPr>
      </w:pPr>
      <w:r w:rsidRPr="007F3230">
        <w:rPr>
          <w:sz w:val="24"/>
          <w:szCs w:val="24"/>
        </w:rPr>
        <w:t xml:space="preserve">Elements of the assessment of </w:t>
      </w:r>
      <w:r w:rsidR="00A35BD9" w:rsidRPr="007F3230">
        <w:rPr>
          <w:sz w:val="24"/>
          <w:szCs w:val="24"/>
        </w:rPr>
        <w:t>student learning outcomes</w:t>
      </w:r>
      <w:r w:rsidRPr="007F3230">
        <w:rPr>
          <w:sz w:val="24"/>
          <w:szCs w:val="24"/>
        </w:rPr>
        <w:t xml:space="preserve"> process include collection of </w:t>
      </w:r>
      <w:r w:rsidR="00A35BD9" w:rsidRPr="007F3230">
        <w:rPr>
          <w:sz w:val="24"/>
          <w:szCs w:val="24"/>
        </w:rPr>
        <w:t>student learning outcomes evidence</w:t>
      </w:r>
      <w:r w:rsidRPr="007F3230">
        <w:rPr>
          <w:sz w:val="24"/>
          <w:szCs w:val="24"/>
        </w:rPr>
        <w:t xml:space="preserve"> for review and assessment, pre-review meeting, review using scripting, post-review assessment form, and post-review and assessment meeting.</w:t>
      </w:r>
    </w:p>
    <w:p w14:paraId="2E70D91C" w14:textId="77777777" w:rsidR="003B0E7D" w:rsidRDefault="003B0E7D" w:rsidP="00A35BD9">
      <w:pPr>
        <w:pStyle w:val="ListBullet"/>
        <w:numPr>
          <w:ilvl w:val="0"/>
          <w:numId w:val="0"/>
        </w:numPr>
        <w:spacing w:after="0" w:line="240" w:lineRule="auto"/>
        <w:rPr>
          <w:b/>
          <w:bCs/>
        </w:rPr>
      </w:pPr>
    </w:p>
    <w:p w14:paraId="192B12C4" w14:textId="012E61BC" w:rsidR="00F64931" w:rsidRPr="00A325E7" w:rsidRDefault="00AC7641" w:rsidP="007F3230">
      <w:pPr>
        <w:pStyle w:val="Heading3"/>
      </w:pPr>
      <w:r>
        <w:t xml:space="preserve">Evidence Collection </w:t>
      </w:r>
      <w:r w:rsidRPr="00A325E7">
        <w:t xml:space="preserve">Option </w:t>
      </w:r>
      <w:r w:rsidR="003B0E7D">
        <w:t>4</w:t>
      </w:r>
      <w:r w:rsidRPr="00A325E7">
        <w:t>: Combined Review</w:t>
      </w:r>
    </w:p>
    <w:p w14:paraId="115FEB3A" w14:textId="77777777" w:rsidR="00A90126" w:rsidRDefault="00A90126" w:rsidP="00A90126">
      <w:pPr>
        <w:pStyle w:val="ListBullet2"/>
        <w:numPr>
          <w:ilvl w:val="0"/>
          <w:numId w:val="0"/>
        </w:numPr>
        <w:spacing w:after="0" w:line="240" w:lineRule="auto"/>
      </w:pPr>
    </w:p>
    <w:p w14:paraId="247BAB4B" w14:textId="13AF6AE9" w:rsidR="00F64931" w:rsidRPr="007F3230" w:rsidRDefault="006D1617" w:rsidP="00A90126">
      <w:pPr>
        <w:pStyle w:val="ListBullet2"/>
        <w:numPr>
          <w:ilvl w:val="0"/>
          <w:numId w:val="0"/>
        </w:numPr>
        <w:spacing w:after="0" w:line="240" w:lineRule="auto"/>
        <w:rPr>
          <w:sz w:val="24"/>
          <w:szCs w:val="24"/>
        </w:rPr>
      </w:pPr>
      <w:r w:rsidRPr="007F3230">
        <w:rPr>
          <w:sz w:val="24"/>
          <w:szCs w:val="24"/>
        </w:rPr>
        <w:t xml:space="preserve">Peer evaluations may also take the form of a hybrid approach using </w:t>
      </w:r>
      <w:r w:rsidR="003B0E7D" w:rsidRPr="007F3230">
        <w:rPr>
          <w:sz w:val="24"/>
          <w:szCs w:val="24"/>
        </w:rPr>
        <w:t>a combination of options</w:t>
      </w:r>
      <w:r w:rsidRPr="007F3230">
        <w:rPr>
          <w:sz w:val="24"/>
          <w:szCs w:val="24"/>
        </w:rPr>
        <w:t xml:space="preserve"> described or other modalities appropriate to the discipline and context</w:t>
      </w:r>
      <w:r w:rsidR="003B0E7D" w:rsidRPr="007F3230">
        <w:rPr>
          <w:sz w:val="24"/>
          <w:szCs w:val="24"/>
        </w:rPr>
        <w:t>.</w:t>
      </w:r>
    </w:p>
    <w:p w14:paraId="376717AA" w14:textId="4FCE83C8" w:rsidR="00F64931" w:rsidRPr="00F32BD6" w:rsidRDefault="00AE50B9" w:rsidP="007F3230">
      <w:pPr>
        <w:pStyle w:val="Heading1"/>
      </w:pPr>
      <w:bookmarkStart w:id="10" w:name="_Hlk199795795"/>
      <w:bookmarkStart w:id="11" w:name="_Toc202259813"/>
      <w:r w:rsidRPr="00F32BD6">
        <w:t>Process</w:t>
      </w:r>
      <w:bookmarkEnd w:id="11"/>
    </w:p>
    <w:bookmarkEnd w:id="10"/>
    <w:p w14:paraId="7180CFE3" w14:textId="77777777" w:rsidR="002C4B89" w:rsidRDefault="002C4B89" w:rsidP="002C4B89">
      <w:pPr>
        <w:spacing w:after="0" w:line="240" w:lineRule="auto"/>
        <w:contextualSpacing/>
        <w:rPr>
          <w:rFonts w:ascii="Times New Roman" w:eastAsia="Times New Roman" w:hAnsi="Times New Roman" w:cs="Times New Roman"/>
        </w:rPr>
      </w:pPr>
    </w:p>
    <w:p w14:paraId="0E734E80" w14:textId="0F90084B" w:rsidR="00AF73D7" w:rsidRPr="007F3230" w:rsidRDefault="002C4B89" w:rsidP="00AF73D7">
      <w:pPr>
        <w:spacing w:after="0" w:line="240" w:lineRule="auto"/>
        <w:contextualSpacing/>
        <w:rPr>
          <w:rFonts w:ascii="Times New Roman" w:eastAsia="Times New Roman" w:hAnsi="Times New Roman" w:cs="Times New Roman"/>
          <w:sz w:val="24"/>
          <w:szCs w:val="24"/>
        </w:rPr>
      </w:pPr>
      <w:r w:rsidRPr="007F3230">
        <w:rPr>
          <w:rFonts w:ascii="Times New Roman" w:eastAsia="Times New Roman" w:hAnsi="Times New Roman" w:cs="Times New Roman"/>
          <w:sz w:val="24"/>
          <w:szCs w:val="24"/>
        </w:rPr>
        <w:t xml:space="preserve">The peer evaluation of teaching </w:t>
      </w:r>
      <w:r w:rsidR="00AF73D7" w:rsidRPr="007F3230">
        <w:rPr>
          <w:rFonts w:ascii="Times New Roman" w:eastAsia="Times New Roman" w:hAnsi="Times New Roman" w:cs="Times New Roman"/>
          <w:sz w:val="24"/>
          <w:szCs w:val="24"/>
        </w:rPr>
        <w:t>process should be</w:t>
      </w:r>
      <w:r w:rsidRPr="007F3230">
        <w:rPr>
          <w:rFonts w:ascii="Times New Roman" w:eastAsia="Times New Roman" w:hAnsi="Times New Roman" w:cs="Times New Roman"/>
          <w:sz w:val="24"/>
          <w:szCs w:val="24"/>
        </w:rPr>
        <w:t xml:space="preserve"> a structured, faculty-centered process that promotes reflective practice, instructional improvement, and alignment with institutional standards for teaching excellence. The following steps outline a consistent approach to ensure that evaluations are</w:t>
      </w:r>
      <w:r w:rsidR="00AF73D7" w:rsidRPr="007F3230">
        <w:rPr>
          <w:rFonts w:ascii="Times New Roman" w:eastAsia="Times New Roman" w:hAnsi="Times New Roman" w:cs="Times New Roman"/>
          <w:sz w:val="24"/>
          <w:szCs w:val="24"/>
        </w:rPr>
        <w:t xml:space="preserve"> intended to be </w:t>
      </w:r>
      <w:r w:rsidRPr="007F3230">
        <w:rPr>
          <w:rFonts w:ascii="Times New Roman" w:eastAsia="Times New Roman" w:hAnsi="Times New Roman" w:cs="Times New Roman"/>
          <w:sz w:val="24"/>
          <w:szCs w:val="24"/>
        </w:rPr>
        <w:t>meaningful, collegial, and developmentally focused.</w:t>
      </w:r>
    </w:p>
    <w:p w14:paraId="1B355FD8" w14:textId="15DD8197" w:rsidR="002C4B89" w:rsidRPr="007F3230" w:rsidRDefault="00AC7641" w:rsidP="007F3230">
      <w:pPr>
        <w:pStyle w:val="Heading2"/>
      </w:pPr>
      <w:r w:rsidRPr="007F3230">
        <w:t>Evaluator</w:t>
      </w:r>
      <w:r w:rsidR="002C4B89" w:rsidRPr="007F3230">
        <w:t xml:space="preserve"> Selection and Training</w:t>
      </w:r>
    </w:p>
    <w:p w14:paraId="4FFE5B23" w14:textId="598C1B6D" w:rsidR="002C4B89" w:rsidRPr="007F3230" w:rsidRDefault="002C4B89" w:rsidP="008A17F1">
      <w:pPr>
        <w:numPr>
          <w:ilvl w:val="0"/>
          <w:numId w:val="18"/>
        </w:numPr>
        <w:spacing w:before="120" w:after="120" w:line="240" w:lineRule="auto"/>
        <w:rPr>
          <w:rFonts w:ascii="Times New Roman" w:eastAsia="Times New Roman" w:hAnsi="Times New Roman" w:cs="Times New Roman"/>
          <w:sz w:val="24"/>
          <w:szCs w:val="24"/>
        </w:rPr>
      </w:pPr>
      <w:r w:rsidRPr="007F3230">
        <w:rPr>
          <w:rFonts w:ascii="Times New Roman" w:eastAsia="Times New Roman" w:hAnsi="Times New Roman" w:cs="Times New Roman"/>
          <w:i/>
          <w:iCs/>
          <w:sz w:val="24"/>
          <w:szCs w:val="24"/>
        </w:rPr>
        <w:t>Selection</w:t>
      </w:r>
      <w:r w:rsidR="006C28CC" w:rsidRPr="007F3230">
        <w:rPr>
          <w:rFonts w:ascii="Times New Roman" w:eastAsia="Times New Roman" w:hAnsi="Times New Roman" w:cs="Times New Roman"/>
          <w:i/>
          <w:iCs/>
          <w:sz w:val="24"/>
          <w:szCs w:val="24"/>
        </w:rPr>
        <w:t xml:space="preserve"> and Qualifications</w:t>
      </w:r>
      <w:r w:rsidRPr="007F3230">
        <w:rPr>
          <w:rFonts w:ascii="Times New Roman" w:eastAsia="Times New Roman" w:hAnsi="Times New Roman" w:cs="Times New Roman"/>
          <w:sz w:val="24"/>
          <w:szCs w:val="24"/>
        </w:rPr>
        <w:t xml:space="preserve">: </w:t>
      </w:r>
      <w:r w:rsidR="006C28CC" w:rsidRPr="007F3230">
        <w:rPr>
          <w:rFonts w:ascii="Times New Roman" w:eastAsia="Times New Roman" w:hAnsi="Times New Roman" w:cs="Times New Roman"/>
          <w:sz w:val="24"/>
          <w:szCs w:val="24"/>
        </w:rPr>
        <w:t>Evaluators are</w:t>
      </w:r>
      <w:r w:rsidRPr="007F3230">
        <w:rPr>
          <w:rFonts w:ascii="Times New Roman" w:eastAsia="Times New Roman" w:hAnsi="Times New Roman" w:cs="Times New Roman"/>
          <w:sz w:val="24"/>
          <w:szCs w:val="24"/>
        </w:rPr>
        <w:t xml:space="preserve"> typically selected according to department</w:t>
      </w:r>
      <w:r w:rsidR="00F0796A" w:rsidRPr="007F3230">
        <w:rPr>
          <w:rFonts w:ascii="Times New Roman" w:eastAsia="Times New Roman" w:hAnsi="Times New Roman" w:cs="Times New Roman"/>
          <w:sz w:val="24"/>
          <w:szCs w:val="24"/>
        </w:rPr>
        <w:t>/school</w:t>
      </w:r>
      <w:r w:rsidRPr="007F3230">
        <w:rPr>
          <w:rFonts w:ascii="Times New Roman" w:eastAsia="Times New Roman" w:hAnsi="Times New Roman" w:cs="Times New Roman"/>
          <w:sz w:val="24"/>
          <w:szCs w:val="24"/>
        </w:rPr>
        <w:t xml:space="preserve"> </w:t>
      </w:r>
      <w:r w:rsidR="00871711">
        <w:rPr>
          <w:rFonts w:ascii="Times New Roman" w:eastAsia="Times New Roman" w:hAnsi="Times New Roman" w:cs="Times New Roman"/>
          <w:sz w:val="24"/>
          <w:szCs w:val="24"/>
        </w:rPr>
        <w:t xml:space="preserve">or college </w:t>
      </w:r>
      <w:r w:rsidRPr="007F3230">
        <w:rPr>
          <w:rFonts w:ascii="Times New Roman" w:eastAsia="Times New Roman" w:hAnsi="Times New Roman" w:cs="Times New Roman"/>
          <w:sz w:val="24"/>
          <w:szCs w:val="24"/>
        </w:rPr>
        <w:t xml:space="preserve">procedures. This may involve mutual agreement between </w:t>
      </w:r>
      <w:r w:rsidRPr="007F3230">
        <w:rPr>
          <w:rFonts w:ascii="Times New Roman" w:eastAsia="Times New Roman" w:hAnsi="Times New Roman" w:cs="Times New Roman"/>
          <w:sz w:val="24"/>
          <w:szCs w:val="24"/>
        </w:rPr>
        <w:lastRenderedPageBreak/>
        <w:t>the faculty member and department chair</w:t>
      </w:r>
      <w:r w:rsidR="00F0796A" w:rsidRPr="007F3230">
        <w:rPr>
          <w:rFonts w:ascii="Times New Roman" w:eastAsia="Times New Roman" w:hAnsi="Times New Roman" w:cs="Times New Roman"/>
          <w:sz w:val="24"/>
          <w:szCs w:val="24"/>
        </w:rPr>
        <w:t xml:space="preserve"> / school director</w:t>
      </w:r>
      <w:r w:rsidRPr="007F3230">
        <w:rPr>
          <w:rFonts w:ascii="Times New Roman" w:eastAsia="Times New Roman" w:hAnsi="Times New Roman" w:cs="Times New Roman"/>
          <w:sz w:val="24"/>
          <w:szCs w:val="24"/>
        </w:rPr>
        <w:t xml:space="preserve"> or rotation from a pool of experienced faculty.</w:t>
      </w:r>
      <w:r w:rsidR="006C28CC" w:rsidRPr="007F3230">
        <w:rPr>
          <w:rFonts w:ascii="Times New Roman" w:eastAsia="Times New Roman" w:hAnsi="Times New Roman" w:cs="Times New Roman"/>
          <w:sz w:val="24"/>
          <w:szCs w:val="24"/>
        </w:rPr>
        <w:t xml:space="preserve"> </w:t>
      </w:r>
      <w:r w:rsidR="00AC7641" w:rsidRPr="007F3230">
        <w:rPr>
          <w:rFonts w:ascii="Times New Roman" w:eastAsia="Times New Roman" w:hAnsi="Times New Roman" w:cs="Times New Roman"/>
          <w:sz w:val="24"/>
          <w:szCs w:val="24"/>
        </w:rPr>
        <w:t>Evaluators</w:t>
      </w:r>
      <w:r w:rsidRPr="007F3230">
        <w:rPr>
          <w:rFonts w:ascii="Times New Roman" w:eastAsia="Times New Roman" w:hAnsi="Times New Roman" w:cs="Times New Roman"/>
          <w:sz w:val="24"/>
          <w:szCs w:val="24"/>
        </w:rPr>
        <w:t xml:space="preserve"> should have relevant disciplinary knowledge, experience with </w:t>
      </w:r>
      <w:r w:rsidR="00AC7641" w:rsidRPr="007F3230">
        <w:rPr>
          <w:rFonts w:ascii="Times New Roman" w:eastAsia="Times New Roman" w:hAnsi="Times New Roman" w:cs="Times New Roman"/>
          <w:sz w:val="24"/>
          <w:szCs w:val="24"/>
        </w:rPr>
        <w:t>the</w:t>
      </w:r>
      <w:r w:rsidRPr="007F3230">
        <w:rPr>
          <w:rFonts w:ascii="Times New Roman" w:eastAsia="Times New Roman" w:hAnsi="Times New Roman" w:cs="Times New Roman"/>
          <w:sz w:val="24"/>
          <w:szCs w:val="24"/>
        </w:rPr>
        <w:t xml:space="preserve"> </w:t>
      </w:r>
      <w:r w:rsidR="00AC7641" w:rsidRPr="007F3230">
        <w:rPr>
          <w:rFonts w:ascii="Times New Roman" w:eastAsia="Times New Roman" w:hAnsi="Times New Roman" w:cs="Times New Roman"/>
          <w:sz w:val="24"/>
          <w:szCs w:val="24"/>
        </w:rPr>
        <w:t xml:space="preserve">course </w:t>
      </w:r>
      <w:r w:rsidR="00F0796A" w:rsidRPr="007F3230">
        <w:rPr>
          <w:rFonts w:ascii="Times New Roman" w:eastAsia="Times New Roman" w:hAnsi="Times New Roman" w:cs="Times New Roman"/>
          <w:sz w:val="24"/>
          <w:szCs w:val="24"/>
        </w:rPr>
        <w:t xml:space="preserve">delivery </w:t>
      </w:r>
      <w:r w:rsidRPr="007F3230">
        <w:rPr>
          <w:rFonts w:ascii="Times New Roman" w:eastAsia="Times New Roman" w:hAnsi="Times New Roman" w:cs="Times New Roman"/>
          <w:sz w:val="24"/>
          <w:szCs w:val="24"/>
        </w:rPr>
        <w:t>modality (e.g., online, in-person), and familiarity with evaluation criteria.</w:t>
      </w:r>
    </w:p>
    <w:p w14:paraId="6BFB3231" w14:textId="303336FC" w:rsidR="002C4B89" w:rsidRPr="007F3230" w:rsidRDefault="002C4B89" w:rsidP="008A17F1">
      <w:pPr>
        <w:numPr>
          <w:ilvl w:val="0"/>
          <w:numId w:val="18"/>
        </w:numPr>
        <w:spacing w:before="120" w:after="120" w:line="240" w:lineRule="auto"/>
        <w:rPr>
          <w:rFonts w:ascii="Times New Roman" w:eastAsia="Times New Roman" w:hAnsi="Times New Roman" w:cs="Times New Roman"/>
          <w:sz w:val="24"/>
          <w:szCs w:val="24"/>
        </w:rPr>
      </w:pPr>
      <w:r w:rsidRPr="007F3230">
        <w:rPr>
          <w:rFonts w:ascii="Times New Roman" w:eastAsia="Times New Roman" w:hAnsi="Times New Roman" w:cs="Times New Roman"/>
          <w:i/>
          <w:iCs/>
          <w:sz w:val="24"/>
          <w:szCs w:val="24"/>
        </w:rPr>
        <w:t>Training</w:t>
      </w:r>
      <w:r w:rsidRPr="007F3230">
        <w:rPr>
          <w:rFonts w:ascii="Times New Roman" w:eastAsia="Times New Roman" w:hAnsi="Times New Roman" w:cs="Times New Roman"/>
          <w:sz w:val="24"/>
          <w:szCs w:val="24"/>
        </w:rPr>
        <w:t xml:space="preserve">: </w:t>
      </w:r>
      <w:r w:rsidR="00AC7641" w:rsidRPr="007F3230">
        <w:rPr>
          <w:rFonts w:ascii="Times New Roman" w:eastAsia="Times New Roman" w:hAnsi="Times New Roman" w:cs="Times New Roman"/>
          <w:sz w:val="24"/>
          <w:szCs w:val="24"/>
        </w:rPr>
        <w:t>Evaluators</w:t>
      </w:r>
      <w:r w:rsidRPr="007F3230">
        <w:rPr>
          <w:rFonts w:ascii="Times New Roman" w:eastAsia="Times New Roman" w:hAnsi="Times New Roman" w:cs="Times New Roman"/>
          <w:sz w:val="24"/>
          <w:szCs w:val="24"/>
        </w:rPr>
        <w:t xml:space="preserve"> </w:t>
      </w:r>
      <w:r w:rsidR="00F0796A" w:rsidRPr="007F3230">
        <w:rPr>
          <w:rFonts w:ascii="Times New Roman" w:eastAsia="Times New Roman" w:hAnsi="Times New Roman" w:cs="Times New Roman"/>
          <w:sz w:val="24"/>
          <w:szCs w:val="24"/>
        </w:rPr>
        <w:t>should</w:t>
      </w:r>
      <w:r w:rsidRPr="007F3230">
        <w:rPr>
          <w:rFonts w:ascii="Times New Roman" w:eastAsia="Times New Roman" w:hAnsi="Times New Roman" w:cs="Times New Roman"/>
          <w:sz w:val="24"/>
          <w:szCs w:val="24"/>
        </w:rPr>
        <w:t xml:space="preserve"> be trained </w:t>
      </w:r>
      <w:r w:rsidR="00F0796A" w:rsidRPr="007F3230">
        <w:rPr>
          <w:rFonts w:ascii="Times New Roman" w:eastAsia="Times New Roman" w:hAnsi="Times New Roman" w:cs="Times New Roman"/>
          <w:sz w:val="24"/>
          <w:szCs w:val="24"/>
        </w:rPr>
        <w:t>in</w:t>
      </w:r>
      <w:r w:rsidRPr="007F3230">
        <w:rPr>
          <w:rFonts w:ascii="Times New Roman" w:eastAsia="Times New Roman" w:hAnsi="Times New Roman" w:cs="Times New Roman"/>
          <w:sz w:val="24"/>
          <w:szCs w:val="24"/>
        </w:rPr>
        <w:t xml:space="preserve"> the goals of the peer </w:t>
      </w:r>
      <w:r w:rsidR="00AC7641" w:rsidRPr="007F3230">
        <w:rPr>
          <w:rFonts w:ascii="Times New Roman" w:eastAsia="Times New Roman" w:hAnsi="Times New Roman" w:cs="Times New Roman"/>
          <w:sz w:val="24"/>
          <w:szCs w:val="24"/>
        </w:rPr>
        <w:t>evaluation</w:t>
      </w:r>
      <w:r w:rsidRPr="007F3230">
        <w:rPr>
          <w:rFonts w:ascii="Times New Roman" w:eastAsia="Times New Roman" w:hAnsi="Times New Roman" w:cs="Times New Roman"/>
          <w:sz w:val="24"/>
          <w:szCs w:val="24"/>
        </w:rPr>
        <w:t xml:space="preserve"> process, bias mitigation, the university</w:t>
      </w:r>
      <w:r w:rsidR="00543774">
        <w:rPr>
          <w:rFonts w:ascii="Times New Roman" w:eastAsia="Times New Roman" w:hAnsi="Times New Roman" w:cs="Times New Roman"/>
          <w:sz w:val="24"/>
          <w:szCs w:val="24"/>
        </w:rPr>
        <w:t>'</w:t>
      </w:r>
      <w:r w:rsidRPr="007F3230">
        <w:rPr>
          <w:rFonts w:ascii="Times New Roman" w:eastAsia="Times New Roman" w:hAnsi="Times New Roman" w:cs="Times New Roman"/>
          <w:sz w:val="24"/>
          <w:szCs w:val="24"/>
        </w:rPr>
        <w:t xml:space="preserve">s eight teaching excellence criteria, and appropriate </w:t>
      </w:r>
      <w:r w:rsidR="006C28CC" w:rsidRPr="007F3230">
        <w:rPr>
          <w:rFonts w:ascii="Times New Roman" w:eastAsia="Times New Roman" w:hAnsi="Times New Roman" w:cs="Times New Roman"/>
          <w:sz w:val="24"/>
          <w:szCs w:val="24"/>
        </w:rPr>
        <w:t xml:space="preserve">evaluation </w:t>
      </w:r>
      <w:r w:rsidRPr="007F3230">
        <w:rPr>
          <w:rFonts w:ascii="Times New Roman" w:eastAsia="Times New Roman" w:hAnsi="Times New Roman" w:cs="Times New Roman"/>
          <w:sz w:val="24"/>
          <w:szCs w:val="24"/>
        </w:rPr>
        <w:t>tools</w:t>
      </w:r>
      <w:r w:rsidR="006C28CC" w:rsidRPr="007F3230">
        <w:rPr>
          <w:rFonts w:ascii="Times New Roman" w:eastAsia="Times New Roman" w:hAnsi="Times New Roman" w:cs="Times New Roman"/>
          <w:sz w:val="24"/>
          <w:szCs w:val="24"/>
        </w:rPr>
        <w:t xml:space="preserve"> (e.g. rubrics, forms</w:t>
      </w:r>
      <w:r w:rsidRPr="007F3230">
        <w:rPr>
          <w:rFonts w:ascii="Times New Roman" w:eastAsia="Times New Roman" w:hAnsi="Times New Roman" w:cs="Times New Roman"/>
          <w:sz w:val="24"/>
          <w:szCs w:val="24"/>
        </w:rPr>
        <w:t>).</w:t>
      </w:r>
    </w:p>
    <w:p w14:paraId="100F8859" w14:textId="71F4F723" w:rsidR="00AF73D7" w:rsidRPr="007F3230" w:rsidRDefault="002C4B89" w:rsidP="008A17F1">
      <w:pPr>
        <w:numPr>
          <w:ilvl w:val="0"/>
          <w:numId w:val="18"/>
        </w:numPr>
        <w:spacing w:before="120" w:after="120" w:line="240" w:lineRule="auto"/>
        <w:rPr>
          <w:rFonts w:ascii="Times New Roman" w:eastAsia="Times New Roman" w:hAnsi="Times New Roman" w:cs="Times New Roman"/>
          <w:sz w:val="24"/>
          <w:szCs w:val="24"/>
        </w:rPr>
      </w:pPr>
      <w:r w:rsidRPr="007F3230">
        <w:rPr>
          <w:rFonts w:ascii="Times New Roman" w:eastAsia="Times New Roman" w:hAnsi="Times New Roman" w:cs="Times New Roman"/>
          <w:i/>
          <w:iCs/>
          <w:sz w:val="24"/>
          <w:szCs w:val="24"/>
        </w:rPr>
        <w:t>Confidentiality and Collegiality</w:t>
      </w:r>
      <w:r w:rsidRPr="007F3230">
        <w:rPr>
          <w:rFonts w:ascii="Times New Roman" w:eastAsia="Times New Roman" w:hAnsi="Times New Roman" w:cs="Times New Roman"/>
          <w:sz w:val="24"/>
          <w:szCs w:val="24"/>
        </w:rPr>
        <w:t xml:space="preserve">: </w:t>
      </w:r>
      <w:r w:rsidR="00AC7641" w:rsidRPr="007F3230">
        <w:rPr>
          <w:rFonts w:ascii="Times New Roman" w:eastAsia="Times New Roman" w:hAnsi="Times New Roman" w:cs="Times New Roman"/>
          <w:sz w:val="24"/>
          <w:szCs w:val="24"/>
        </w:rPr>
        <w:t>Evaluators</w:t>
      </w:r>
      <w:r w:rsidRPr="007F3230">
        <w:rPr>
          <w:rFonts w:ascii="Times New Roman" w:eastAsia="Times New Roman" w:hAnsi="Times New Roman" w:cs="Times New Roman"/>
          <w:sz w:val="24"/>
          <w:szCs w:val="24"/>
        </w:rPr>
        <w:t xml:space="preserve"> are expected to approach the process with professionalism, discretion, and a focus on constructive, developmental feedback.</w:t>
      </w:r>
    </w:p>
    <w:p w14:paraId="7E3B2DD6" w14:textId="3F62C9E1" w:rsidR="002C4B89" w:rsidRPr="007F3230" w:rsidRDefault="002C4B89" w:rsidP="007F3230">
      <w:pPr>
        <w:pStyle w:val="Heading2"/>
      </w:pPr>
      <w:r w:rsidRPr="007F3230">
        <w:t>Faculty Input and Goal Setting</w:t>
      </w:r>
    </w:p>
    <w:p w14:paraId="3F5A6E2B" w14:textId="0A6C0D38" w:rsidR="002C4B89" w:rsidRPr="007F3230" w:rsidRDefault="002C4B89" w:rsidP="008A17F1">
      <w:pPr>
        <w:numPr>
          <w:ilvl w:val="0"/>
          <w:numId w:val="19"/>
        </w:numPr>
        <w:spacing w:before="120" w:after="120" w:line="240" w:lineRule="auto"/>
        <w:rPr>
          <w:rFonts w:ascii="Times New Roman" w:eastAsia="Times New Roman" w:hAnsi="Times New Roman" w:cs="Times New Roman"/>
          <w:sz w:val="24"/>
          <w:szCs w:val="24"/>
        </w:rPr>
      </w:pPr>
      <w:r w:rsidRPr="007F3230">
        <w:rPr>
          <w:rFonts w:ascii="Times New Roman" w:eastAsia="Times New Roman" w:hAnsi="Times New Roman" w:cs="Times New Roman"/>
          <w:i/>
          <w:iCs/>
          <w:sz w:val="24"/>
          <w:szCs w:val="24"/>
        </w:rPr>
        <w:t>Initial Meeting</w:t>
      </w:r>
      <w:r w:rsidRPr="007F3230">
        <w:rPr>
          <w:rFonts w:ascii="Times New Roman" w:eastAsia="Times New Roman" w:hAnsi="Times New Roman" w:cs="Times New Roman"/>
          <w:sz w:val="24"/>
          <w:szCs w:val="24"/>
        </w:rPr>
        <w:t xml:space="preserve">: Before the </w:t>
      </w:r>
      <w:r w:rsidR="00AC7641" w:rsidRPr="007F3230">
        <w:rPr>
          <w:rFonts w:ascii="Times New Roman" w:eastAsia="Times New Roman" w:hAnsi="Times New Roman" w:cs="Times New Roman"/>
          <w:sz w:val="24"/>
          <w:szCs w:val="24"/>
        </w:rPr>
        <w:t>evaluation</w:t>
      </w:r>
      <w:r w:rsidRPr="007F3230">
        <w:rPr>
          <w:rFonts w:ascii="Times New Roman" w:eastAsia="Times New Roman" w:hAnsi="Times New Roman" w:cs="Times New Roman"/>
          <w:sz w:val="24"/>
          <w:szCs w:val="24"/>
        </w:rPr>
        <w:t xml:space="preserve"> begins, the faculty member and </w:t>
      </w:r>
      <w:r w:rsidR="00AC7641" w:rsidRPr="007F3230">
        <w:rPr>
          <w:rFonts w:ascii="Times New Roman" w:eastAsia="Times New Roman" w:hAnsi="Times New Roman" w:cs="Times New Roman"/>
          <w:sz w:val="24"/>
          <w:szCs w:val="24"/>
        </w:rPr>
        <w:t>evaluator</w:t>
      </w:r>
      <w:r w:rsidRPr="007F3230">
        <w:rPr>
          <w:rFonts w:ascii="Times New Roman" w:eastAsia="Times New Roman" w:hAnsi="Times New Roman" w:cs="Times New Roman"/>
          <w:sz w:val="24"/>
          <w:szCs w:val="24"/>
        </w:rPr>
        <w:t xml:space="preserve"> meet to discuss the context of the course (e.g., level, format, student demographics), teaching goals, and any areas of teaching the faculty member would like emphasized.</w:t>
      </w:r>
    </w:p>
    <w:p w14:paraId="0B41322E" w14:textId="74537BA2" w:rsidR="002C4B89" w:rsidRPr="007F3230" w:rsidRDefault="002C4B89" w:rsidP="008A17F1">
      <w:pPr>
        <w:numPr>
          <w:ilvl w:val="0"/>
          <w:numId w:val="19"/>
        </w:numPr>
        <w:spacing w:before="120" w:after="120" w:line="240" w:lineRule="auto"/>
        <w:rPr>
          <w:rFonts w:ascii="Times New Roman" w:eastAsia="Times New Roman" w:hAnsi="Times New Roman" w:cs="Times New Roman"/>
          <w:sz w:val="24"/>
          <w:szCs w:val="24"/>
        </w:rPr>
      </w:pPr>
      <w:r w:rsidRPr="007F3230">
        <w:rPr>
          <w:rFonts w:ascii="Times New Roman" w:eastAsia="Times New Roman" w:hAnsi="Times New Roman" w:cs="Times New Roman"/>
          <w:i/>
          <w:iCs/>
          <w:sz w:val="24"/>
          <w:szCs w:val="24"/>
        </w:rPr>
        <w:t>Selection of Criteria</w:t>
      </w:r>
      <w:r w:rsidRPr="007F3230">
        <w:rPr>
          <w:rFonts w:ascii="Times New Roman" w:eastAsia="Times New Roman" w:hAnsi="Times New Roman" w:cs="Times New Roman"/>
          <w:sz w:val="24"/>
          <w:szCs w:val="24"/>
        </w:rPr>
        <w:t xml:space="preserve">: The faculty member </w:t>
      </w:r>
      <w:r w:rsidR="006C28CC" w:rsidRPr="007F3230">
        <w:rPr>
          <w:rFonts w:ascii="Times New Roman" w:eastAsia="Times New Roman" w:hAnsi="Times New Roman" w:cs="Times New Roman"/>
          <w:sz w:val="24"/>
          <w:szCs w:val="24"/>
        </w:rPr>
        <w:t xml:space="preserve">and/or academic unit </w:t>
      </w:r>
      <w:r w:rsidRPr="007F3230">
        <w:rPr>
          <w:rFonts w:ascii="Times New Roman" w:eastAsia="Times New Roman" w:hAnsi="Times New Roman" w:cs="Times New Roman"/>
          <w:sz w:val="24"/>
          <w:szCs w:val="24"/>
        </w:rPr>
        <w:t>may identify which of the eight teaching excellence criteria should be prioritized</w:t>
      </w:r>
      <w:r w:rsidR="006C28CC" w:rsidRPr="007F3230">
        <w:rPr>
          <w:rFonts w:ascii="Times New Roman" w:eastAsia="Times New Roman" w:hAnsi="Times New Roman" w:cs="Times New Roman"/>
          <w:sz w:val="24"/>
          <w:szCs w:val="24"/>
        </w:rPr>
        <w:t xml:space="preserve"> according to department/school </w:t>
      </w:r>
      <w:r w:rsidR="00871711">
        <w:rPr>
          <w:rFonts w:ascii="Times New Roman" w:eastAsia="Times New Roman" w:hAnsi="Times New Roman" w:cs="Times New Roman"/>
          <w:sz w:val="24"/>
          <w:szCs w:val="24"/>
        </w:rPr>
        <w:t xml:space="preserve">or college </w:t>
      </w:r>
      <w:r w:rsidR="006C28CC" w:rsidRPr="007F3230">
        <w:rPr>
          <w:rFonts w:ascii="Times New Roman" w:eastAsia="Times New Roman" w:hAnsi="Times New Roman" w:cs="Times New Roman"/>
          <w:sz w:val="24"/>
          <w:szCs w:val="24"/>
        </w:rPr>
        <w:t>standards and expectations.</w:t>
      </w:r>
    </w:p>
    <w:p w14:paraId="47FB27C0" w14:textId="2A44DDBF" w:rsidR="006C28CC" w:rsidRPr="007F3230" w:rsidRDefault="006C28CC" w:rsidP="008A17F1">
      <w:pPr>
        <w:numPr>
          <w:ilvl w:val="0"/>
          <w:numId w:val="19"/>
        </w:numPr>
        <w:spacing w:before="120" w:after="120" w:line="240" w:lineRule="auto"/>
        <w:rPr>
          <w:rFonts w:ascii="Times New Roman" w:eastAsia="Times New Roman" w:hAnsi="Times New Roman" w:cs="Times New Roman"/>
          <w:sz w:val="24"/>
          <w:szCs w:val="24"/>
        </w:rPr>
      </w:pPr>
      <w:r w:rsidRPr="007F3230">
        <w:rPr>
          <w:rFonts w:ascii="Times New Roman" w:eastAsia="Times New Roman" w:hAnsi="Times New Roman" w:cs="Times New Roman"/>
          <w:i/>
          <w:iCs/>
          <w:sz w:val="24"/>
          <w:szCs w:val="24"/>
        </w:rPr>
        <w:t>Selection of Materials</w:t>
      </w:r>
      <w:r w:rsidRPr="007F3230">
        <w:rPr>
          <w:rFonts w:ascii="Times New Roman" w:eastAsia="Times New Roman" w:hAnsi="Times New Roman" w:cs="Times New Roman"/>
          <w:sz w:val="24"/>
          <w:szCs w:val="24"/>
        </w:rPr>
        <w:t>: The faculty member should provide relevant documents reflecting select criteria (e.g., syllabus, sample assignments, student feedback, or recorded sessions).</w:t>
      </w:r>
    </w:p>
    <w:p w14:paraId="0EF56480" w14:textId="145F6836" w:rsidR="00AF73D7" w:rsidRPr="00262BF2" w:rsidRDefault="587EED31" w:rsidP="008A17F1">
      <w:pPr>
        <w:numPr>
          <w:ilvl w:val="0"/>
          <w:numId w:val="19"/>
        </w:numPr>
        <w:spacing w:before="120" w:after="120" w:line="240" w:lineRule="auto"/>
        <w:rPr>
          <w:rFonts w:ascii="Times New Roman" w:eastAsia="Times New Roman" w:hAnsi="Times New Roman" w:cs="Times New Roman"/>
          <w:sz w:val="24"/>
          <w:szCs w:val="24"/>
        </w:rPr>
      </w:pPr>
      <w:r w:rsidRPr="4A713DE4">
        <w:rPr>
          <w:rFonts w:ascii="Times New Roman" w:eastAsia="Times New Roman" w:hAnsi="Times New Roman" w:cs="Times New Roman"/>
          <w:i/>
          <w:iCs/>
          <w:sz w:val="24"/>
          <w:szCs w:val="24"/>
        </w:rPr>
        <w:t>Establishing Intent</w:t>
      </w:r>
      <w:r w:rsidRPr="4A713DE4">
        <w:rPr>
          <w:rFonts w:ascii="Times New Roman" w:eastAsia="Times New Roman" w:hAnsi="Times New Roman" w:cs="Times New Roman"/>
          <w:sz w:val="24"/>
          <w:szCs w:val="24"/>
        </w:rPr>
        <w:t xml:space="preserve">: </w:t>
      </w:r>
      <w:r w:rsidR="5E2FC1FF" w:rsidRPr="4A713DE4">
        <w:rPr>
          <w:rFonts w:ascii="Times New Roman" w:eastAsia="Times New Roman" w:hAnsi="Times New Roman" w:cs="Times New Roman"/>
          <w:sz w:val="24"/>
          <w:szCs w:val="24"/>
        </w:rPr>
        <w:t xml:space="preserve">The faculty member and/or academic unit should determine the goal of the peer evaluation. </w:t>
      </w:r>
      <w:r w:rsidR="45C057DD" w:rsidRPr="4A713DE4">
        <w:rPr>
          <w:rFonts w:ascii="Times New Roman" w:eastAsia="Times New Roman" w:hAnsi="Times New Roman" w:cs="Times New Roman"/>
          <w:sz w:val="24"/>
          <w:szCs w:val="24"/>
        </w:rPr>
        <w:t>I</w:t>
      </w:r>
      <w:r w:rsidR="0E045A29" w:rsidRPr="4A713DE4">
        <w:rPr>
          <w:rFonts w:ascii="Times New Roman" w:eastAsia="Times New Roman" w:hAnsi="Times New Roman" w:cs="Times New Roman"/>
          <w:sz w:val="24"/>
          <w:szCs w:val="24"/>
        </w:rPr>
        <w:t>deally</w:t>
      </w:r>
      <w:r w:rsidR="5E2FC1FF" w:rsidRPr="4A713DE4">
        <w:rPr>
          <w:rFonts w:ascii="Times New Roman" w:eastAsia="Times New Roman" w:hAnsi="Times New Roman" w:cs="Times New Roman"/>
          <w:sz w:val="24"/>
          <w:szCs w:val="24"/>
        </w:rPr>
        <w:t xml:space="preserve">, the peer evaluation should </w:t>
      </w:r>
      <w:proofErr w:type="gramStart"/>
      <w:r w:rsidR="5E2FC1FF" w:rsidRPr="4A713DE4">
        <w:rPr>
          <w:rFonts w:ascii="Times New Roman" w:eastAsia="Times New Roman" w:hAnsi="Times New Roman" w:cs="Times New Roman"/>
          <w:sz w:val="24"/>
          <w:szCs w:val="24"/>
        </w:rPr>
        <w:t>be a</w:t>
      </w:r>
      <w:proofErr w:type="gramEnd"/>
      <w:r w:rsidR="5E2FC1FF" w:rsidRPr="4A713DE4">
        <w:rPr>
          <w:rFonts w:ascii="Times New Roman" w:eastAsia="Times New Roman" w:hAnsi="Times New Roman" w:cs="Times New Roman"/>
          <w:sz w:val="24"/>
          <w:szCs w:val="24"/>
        </w:rPr>
        <w:t xml:space="preserve"> </w:t>
      </w:r>
      <w:proofErr w:type="spellStart"/>
      <w:r w:rsidR="5E2FC1FF" w:rsidRPr="4A713DE4">
        <w:rPr>
          <w:rFonts w:ascii="Times New Roman" w:eastAsia="Times New Roman" w:hAnsi="Times New Roman" w:cs="Times New Roman"/>
          <w:sz w:val="24"/>
          <w:szCs w:val="24"/>
        </w:rPr>
        <w:t>a</w:t>
      </w:r>
      <w:proofErr w:type="spellEnd"/>
      <w:r w:rsidR="5E2FC1FF" w:rsidRPr="4A713DE4">
        <w:rPr>
          <w:rFonts w:ascii="Times New Roman" w:eastAsia="Times New Roman" w:hAnsi="Times New Roman" w:cs="Times New Roman"/>
          <w:sz w:val="24"/>
          <w:szCs w:val="24"/>
        </w:rPr>
        <w:t xml:space="preserve"> collaborative, supportive, and reflective process, with a goal of professional growth</w:t>
      </w:r>
    </w:p>
    <w:p w14:paraId="4330D369" w14:textId="77777777" w:rsidR="006C28CC" w:rsidRPr="007F3230" w:rsidRDefault="006C28CC" w:rsidP="007F3230">
      <w:pPr>
        <w:pStyle w:val="Heading2"/>
      </w:pPr>
      <w:r w:rsidRPr="007F3230">
        <w:t>Evidence Collection</w:t>
      </w:r>
    </w:p>
    <w:p w14:paraId="11EBA366" w14:textId="70D1CE49" w:rsidR="006C28CC" w:rsidRPr="007F3230" w:rsidRDefault="006C28CC" w:rsidP="008A17F1">
      <w:pPr>
        <w:numPr>
          <w:ilvl w:val="0"/>
          <w:numId w:val="20"/>
        </w:numPr>
        <w:spacing w:before="120" w:after="120" w:line="240" w:lineRule="auto"/>
        <w:rPr>
          <w:rFonts w:ascii="Times New Roman" w:eastAsia="Times New Roman" w:hAnsi="Times New Roman" w:cs="Times New Roman"/>
          <w:sz w:val="24"/>
          <w:szCs w:val="24"/>
        </w:rPr>
      </w:pPr>
      <w:r w:rsidRPr="007F3230">
        <w:rPr>
          <w:rFonts w:ascii="Times New Roman" w:eastAsia="Times New Roman" w:hAnsi="Times New Roman" w:cs="Times New Roman"/>
          <w:i/>
          <w:iCs/>
          <w:sz w:val="24"/>
          <w:szCs w:val="24"/>
        </w:rPr>
        <w:t>Evidence Collection Modality Selection</w:t>
      </w:r>
      <w:r w:rsidRPr="007F3230">
        <w:rPr>
          <w:rFonts w:ascii="Times New Roman" w:eastAsia="Times New Roman" w:hAnsi="Times New Roman" w:cs="Times New Roman"/>
          <w:sz w:val="24"/>
          <w:szCs w:val="24"/>
        </w:rPr>
        <w:t>: The evaluation</w:t>
      </w:r>
      <w:r w:rsidR="00650C88" w:rsidRPr="007F3230">
        <w:rPr>
          <w:rFonts w:ascii="Times New Roman" w:eastAsia="Times New Roman" w:hAnsi="Times New Roman" w:cs="Times New Roman"/>
          <w:sz w:val="24"/>
          <w:szCs w:val="24"/>
        </w:rPr>
        <w:t xml:space="preserve"> process</w:t>
      </w:r>
      <w:r w:rsidRPr="007F3230">
        <w:rPr>
          <w:rFonts w:ascii="Times New Roman" w:eastAsia="Times New Roman" w:hAnsi="Times New Roman" w:cs="Times New Roman"/>
          <w:sz w:val="24"/>
          <w:szCs w:val="24"/>
        </w:rPr>
        <w:t xml:space="preserve"> may in</w:t>
      </w:r>
      <w:r w:rsidR="00650C88" w:rsidRPr="007F3230">
        <w:rPr>
          <w:rFonts w:ascii="Times New Roman" w:eastAsia="Times New Roman" w:hAnsi="Times New Roman" w:cs="Times New Roman"/>
          <w:sz w:val="24"/>
          <w:szCs w:val="24"/>
        </w:rPr>
        <w:t xml:space="preserve">clude </w:t>
      </w:r>
      <w:r w:rsidRPr="007F3230">
        <w:rPr>
          <w:rFonts w:ascii="Times New Roman" w:eastAsia="Times New Roman" w:hAnsi="Times New Roman" w:cs="Times New Roman"/>
          <w:sz w:val="24"/>
          <w:szCs w:val="24"/>
        </w:rPr>
        <w:t xml:space="preserve">collecting </w:t>
      </w:r>
      <w:r w:rsidR="00650C88" w:rsidRPr="007F3230">
        <w:rPr>
          <w:rFonts w:ascii="Times New Roman" w:eastAsia="Times New Roman" w:hAnsi="Times New Roman" w:cs="Times New Roman"/>
          <w:sz w:val="24"/>
          <w:szCs w:val="24"/>
        </w:rPr>
        <w:t xml:space="preserve">direct </w:t>
      </w:r>
      <w:r w:rsidRPr="007F3230">
        <w:rPr>
          <w:rFonts w:ascii="Times New Roman" w:eastAsia="Times New Roman" w:hAnsi="Times New Roman" w:cs="Times New Roman"/>
          <w:sz w:val="24"/>
          <w:szCs w:val="24"/>
        </w:rPr>
        <w:t>evidence from classroom observation, artifact review, student learning outcomes review, or some combination, depending on the faculty member</w:t>
      </w:r>
      <w:r w:rsidR="00543774">
        <w:rPr>
          <w:rFonts w:ascii="Times New Roman" w:eastAsia="Times New Roman" w:hAnsi="Times New Roman" w:cs="Times New Roman"/>
          <w:sz w:val="24"/>
          <w:szCs w:val="24"/>
        </w:rPr>
        <w:t>'</w:t>
      </w:r>
      <w:r w:rsidRPr="007F3230">
        <w:rPr>
          <w:rFonts w:ascii="Times New Roman" w:eastAsia="Times New Roman" w:hAnsi="Times New Roman" w:cs="Times New Roman"/>
          <w:sz w:val="24"/>
          <w:szCs w:val="24"/>
        </w:rPr>
        <w:t>s teaching format and the agreed-upon focus areas.</w:t>
      </w:r>
    </w:p>
    <w:p w14:paraId="00B1240C" w14:textId="73228FA1" w:rsidR="006C28CC" w:rsidRPr="007F3230" w:rsidRDefault="4D24E722" w:rsidP="008A17F1">
      <w:pPr>
        <w:numPr>
          <w:ilvl w:val="0"/>
          <w:numId w:val="20"/>
        </w:numPr>
        <w:spacing w:before="120" w:after="120" w:line="240" w:lineRule="auto"/>
        <w:rPr>
          <w:rFonts w:ascii="Times New Roman" w:eastAsia="Times New Roman" w:hAnsi="Times New Roman" w:cs="Times New Roman"/>
          <w:sz w:val="24"/>
          <w:szCs w:val="24"/>
        </w:rPr>
      </w:pPr>
      <w:r w:rsidRPr="14B79C40">
        <w:rPr>
          <w:rFonts w:ascii="Times New Roman" w:eastAsia="Times New Roman" w:hAnsi="Times New Roman" w:cs="Times New Roman"/>
          <w:i/>
          <w:iCs/>
          <w:sz w:val="24"/>
          <w:szCs w:val="24"/>
        </w:rPr>
        <w:t xml:space="preserve">Reviewer Selection and </w:t>
      </w:r>
      <w:proofErr w:type="gramStart"/>
      <w:r w:rsidRPr="14B79C40">
        <w:rPr>
          <w:rFonts w:ascii="Times New Roman" w:eastAsia="Times New Roman" w:hAnsi="Times New Roman" w:cs="Times New Roman"/>
          <w:i/>
          <w:iCs/>
          <w:sz w:val="24"/>
          <w:szCs w:val="24"/>
        </w:rPr>
        <w:t>Qualifications</w:t>
      </w:r>
      <w:r w:rsidRPr="14B79C40">
        <w:rPr>
          <w:rFonts w:ascii="Times New Roman" w:eastAsia="Times New Roman" w:hAnsi="Times New Roman" w:cs="Times New Roman"/>
          <w:sz w:val="24"/>
          <w:szCs w:val="24"/>
        </w:rPr>
        <w:t>:</w:t>
      </w:r>
      <w:r w:rsidR="7065DD7D" w:rsidRPr="14B79C40">
        <w:rPr>
          <w:rFonts w:ascii="Times New Roman" w:eastAsia="Times New Roman" w:hAnsi="Times New Roman" w:cs="Times New Roman"/>
          <w:sz w:val="24"/>
          <w:szCs w:val="24"/>
        </w:rPr>
        <w:t>,</w:t>
      </w:r>
      <w:proofErr w:type="gramEnd"/>
      <w:r w:rsidR="7065DD7D" w:rsidRPr="14B79C40">
        <w:rPr>
          <w:rFonts w:ascii="Times New Roman" w:eastAsia="Times New Roman" w:hAnsi="Times New Roman" w:cs="Times New Roman"/>
          <w:sz w:val="24"/>
          <w:szCs w:val="24"/>
        </w:rPr>
        <w:t xml:space="preserve"> </w:t>
      </w:r>
      <w:r w:rsidR="6D475FDB" w:rsidRPr="14B79C40">
        <w:rPr>
          <w:rFonts w:ascii="Times New Roman" w:eastAsia="Times New Roman" w:hAnsi="Times New Roman" w:cs="Times New Roman"/>
          <w:sz w:val="24"/>
          <w:szCs w:val="24"/>
        </w:rPr>
        <w:t xml:space="preserve">Reviewers </w:t>
      </w:r>
      <w:r w:rsidRPr="14B79C40">
        <w:rPr>
          <w:rFonts w:ascii="Times New Roman" w:eastAsia="Times New Roman" w:hAnsi="Times New Roman" w:cs="Times New Roman"/>
          <w:sz w:val="24"/>
          <w:szCs w:val="24"/>
        </w:rPr>
        <w:t xml:space="preserve">are typically selected according to department/school </w:t>
      </w:r>
      <w:r w:rsidR="0667F3B4" w:rsidRPr="14B79C40">
        <w:rPr>
          <w:rFonts w:ascii="Times New Roman" w:eastAsia="Times New Roman" w:hAnsi="Times New Roman" w:cs="Times New Roman"/>
          <w:sz w:val="24"/>
          <w:szCs w:val="24"/>
        </w:rPr>
        <w:t xml:space="preserve">or college </w:t>
      </w:r>
      <w:r w:rsidRPr="14B79C40">
        <w:rPr>
          <w:rFonts w:ascii="Times New Roman" w:eastAsia="Times New Roman" w:hAnsi="Times New Roman" w:cs="Times New Roman"/>
          <w:sz w:val="24"/>
          <w:szCs w:val="24"/>
        </w:rPr>
        <w:t>procedures.</w:t>
      </w:r>
      <w:r w:rsidR="7065DD7D" w:rsidRPr="14B79C40">
        <w:rPr>
          <w:rFonts w:ascii="Times New Roman" w:eastAsia="Times New Roman" w:hAnsi="Times New Roman" w:cs="Times New Roman"/>
          <w:sz w:val="24"/>
          <w:szCs w:val="24"/>
        </w:rPr>
        <w:t xml:space="preserve"> Reviewers</w:t>
      </w:r>
      <w:r w:rsidRPr="14B79C40">
        <w:rPr>
          <w:rFonts w:ascii="Times New Roman" w:eastAsia="Times New Roman" w:hAnsi="Times New Roman" w:cs="Times New Roman"/>
          <w:sz w:val="24"/>
          <w:szCs w:val="24"/>
        </w:rPr>
        <w:t xml:space="preserve"> should have relevant disciplinary knowledge, experience with the course delivery modality (e.g., online, in-person), and familiarity with evaluation criteria.</w:t>
      </w:r>
      <w:r w:rsidR="7065DD7D" w:rsidRPr="14B79C40">
        <w:rPr>
          <w:rFonts w:ascii="Times New Roman" w:eastAsia="Times New Roman" w:hAnsi="Times New Roman" w:cs="Times New Roman"/>
          <w:sz w:val="24"/>
          <w:szCs w:val="24"/>
        </w:rPr>
        <w:t xml:space="preserve"> (</w:t>
      </w:r>
      <w:commentRangeStart w:id="12"/>
      <w:r w:rsidR="7065DD7D" w:rsidRPr="14B79C40">
        <w:rPr>
          <w:rFonts w:ascii="Times New Roman" w:eastAsia="Times New Roman" w:hAnsi="Times New Roman" w:cs="Times New Roman"/>
          <w:i/>
          <w:iCs/>
          <w:sz w:val="24"/>
          <w:szCs w:val="24"/>
        </w:rPr>
        <w:t>Note</w:t>
      </w:r>
      <w:r w:rsidR="7065DD7D" w:rsidRPr="14B79C40">
        <w:rPr>
          <w:rFonts w:ascii="Times New Roman" w:eastAsia="Times New Roman" w:hAnsi="Times New Roman" w:cs="Times New Roman"/>
          <w:sz w:val="24"/>
          <w:szCs w:val="24"/>
        </w:rPr>
        <w:t>: Person(s) may serve in both the reviewer and evaluator role.</w:t>
      </w:r>
      <w:commentRangeEnd w:id="12"/>
      <w:r w:rsidR="006C28CC">
        <w:rPr>
          <w:rStyle w:val="CommentReference"/>
        </w:rPr>
        <w:commentReference w:id="12"/>
      </w:r>
      <w:r w:rsidR="7065DD7D" w:rsidRPr="14B79C40">
        <w:rPr>
          <w:rFonts w:ascii="Times New Roman" w:eastAsia="Times New Roman" w:hAnsi="Times New Roman" w:cs="Times New Roman"/>
          <w:sz w:val="24"/>
          <w:szCs w:val="24"/>
        </w:rPr>
        <w:t xml:space="preserve">) </w:t>
      </w:r>
    </w:p>
    <w:p w14:paraId="6DACB742" w14:textId="41BD887D" w:rsidR="006C28CC" w:rsidRPr="007F3230" w:rsidRDefault="006C28CC" w:rsidP="008A17F1">
      <w:pPr>
        <w:numPr>
          <w:ilvl w:val="0"/>
          <w:numId w:val="20"/>
        </w:numPr>
        <w:spacing w:before="120" w:after="120" w:line="240" w:lineRule="auto"/>
        <w:rPr>
          <w:rFonts w:ascii="Times New Roman" w:eastAsia="Times New Roman" w:hAnsi="Times New Roman" w:cs="Times New Roman"/>
          <w:sz w:val="24"/>
          <w:szCs w:val="24"/>
        </w:rPr>
      </w:pPr>
      <w:r w:rsidRPr="007F3230">
        <w:rPr>
          <w:rFonts w:ascii="Times New Roman" w:eastAsia="Times New Roman" w:hAnsi="Times New Roman" w:cs="Times New Roman"/>
          <w:i/>
          <w:iCs/>
          <w:sz w:val="24"/>
          <w:szCs w:val="24"/>
        </w:rPr>
        <w:t>Documentation</w:t>
      </w:r>
      <w:r w:rsidRPr="007F3230">
        <w:rPr>
          <w:rFonts w:ascii="Times New Roman" w:eastAsia="Times New Roman" w:hAnsi="Times New Roman" w:cs="Times New Roman"/>
          <w:sz w:val="24"/>
          <w:szCs w:val="24"/>
        </w:rPr>
        <w:t>: Reviewers take notes and assess evidence in relation to the selected teaching excellence criteria, aiming for objective and constructive</w:t>
      </w:r>
      <w:r w:rsidR="0063275B" w:rsidRPr="007F3230">
        <w:rPr>
          <w:rFonts w:ascii="Times New Roman" w:eastAsia="Times New Roman" w:hAnsi="Times New Roman" w:cs="Times New Roman"/>
          <w:sz w:val="24"/>
          <w:szCs w:val="24"/>
        </w:rPr>
        <w:t xml:space="preserve"> analysis and feedback</w:t>
      </w:r>
      <w:r w:rsidRPr="007F3230">
        <w:rPr>
          <w:rFonts w:ascii="Times New Roman" w:eastAsia="Times New Roman" w:hAnsi="Times New Roman" w:cs="Times New Roman"/>
          <w:sz w:val="24"/>
          <w:szCs w:val="24"/>
        </w:rPr>
        <w:t>.</w:t>
      </w:r>
    </w:p>
    <w:p w14:paraId="1E52AED4" w14:textId="432B42C1" w:rsidR="002C4B89" w:rsidRPr="007F3230" w:rsidRDefault="00AC7641" w:rsidP="007F3230">
      <w:pPr>
        <w:pStyle w:val="Heading2"/>
      </w:pPr>
      <w:proofErr w:type="gramStart"/>
      <w:r w:rsidRPr="007F3230">
        <w:t>Evaluation</w:t>
      </w:r>
      <w:proofErr w:type="gramEnd"/>
      <w:r w:rsidR="002C4B89" w:rsidRPr="007F3230">
        <w:t xml:space="preserve"> Implementation</w:t>
      </w:r>
    </w:p>
    <w:p w14:paraId="5DA705A6" w14:textId="5B98979F" w:rsidR="00650C88" w:rsidRPr="007F3230" w:rsidRDefault="00650C88" w:rsidP="008A17F1">
      <w:pPr>
        <w:numPr>
          <w:ilvl w:val="0"/>
          <w:numId w:val="20"/>
        </w:numPr>
        <w:spacing w:before="120" w:after="120" w:line="240" w:lineRule="auto"/>
        <w:rPr>
          <w:rFonts w:ascii="Times New Roman" w:eastAsia="Times New Roman" w:hAnsi="Times New Roman" w:cs="Times New Roman"/>
          <w:sz w:val="24"/>
          <w:szCs w:val="24"/>
        </w:rPr>
      </w:pPr>
      <w:bookmarkStart w:id="13" w:name="_Hlk198213749"/>
      <w:r w:rsidRPr="007F3230">
        <w:rPr>
          <w:rFonts w:ascii="Times New Roman" w:eastAsia="Times New Roman" w:hAnsi="Times New Roman" w:cs="Times New Roman"/>
          <w:i/>
          <w:iCs/>
          <w:sz w:val="24"/>
          <w:szCs w:val="24"/>
        </w:rPr>
        <w:t>Evidence Aggregation</w:t>
      </w:r>
      <w:r w:rsidRPr="007F3230">
        <w:rPr>
          <w:rFonts w:ascii="Times New Roman" w:eastAsia="Times New Roman" w:hAnsi="Times New Roman" w:cs="Times New Roman"/>
          <w:sz w:val="24"/>
          <w:szCs w:val="24"/>
        </w:rPr>
        <w:t>:</w:t>
      </w:r>
      <w:r w:rsidRPr="007F3230">
        <w:rPr>
          <w:sz w:val="24"/>
          <w:szCs w:val="24"/>
        </w:rPr>
        <w:t xml:space="preserve"> </w:t>
      </w:r>
      <w:r w:rsidRPr="007F3230">
        <w:rPr>
          <w:rFonts w:ascii="Times New Roman" w:eastAsia="Times New Roman" w:hAnsi="Times New Roman" w:cs="Times New Roman"/>
          <w:sz w:val="24"/>
          <w:szCs w:val="24"/>
        </w:rPr>
        <w:t xml:space="preserve">Faculty members undergoing the review and/or evaluators should aggregate direct evidence of teaching excellence (e.g., notes from teaching observations, </w:t>
      </w:r>
      <w:r w:rsidRPr="007F3230">
        <w:rPr>
          <w:rFonts w:ascii="Times New Roman" w:eastAsia="Times New Roman" w:hAnsi="Times New Roman" w:cs="Times New Roman"/>
          <w:sz w:val="24"/>
          <w:szCs w:val="24"/>
        </w:rPr>
        <w:lastRenderedPageBreak/>
        <w:t xml:space="preserve">analysis of teaching artifacts, review of student achievement of learning outcomes, or any combination thereof) plus indirect evidence (e.g., self-assessments, narratives, self-reports of professional activities) submitted by the faculty member undergoing the review. </w:t>
      </w:r>
    </w:p>
    <w:p w14:paraId="58E55F14" w14:textId="5A975813" w:rsidR="00650C88" w:rsidRPr="007F3230" w:rsidRDefault="00650C88" w:rsidP="008A17F1">
      <w:pPr>
        <w:numPr>
          <w:ilvl w:val="0"/>
          <w:numId w:val="20"/>
        </w:numPr>
        <w:spacing w:before="120" w:after="120" w:line="240" w:lineRule="auto"/>
        <w:rPr>
          <w:rFonts w:ascii="Times New Roman" w:eastAsia="Times New Roman" w:hAnsi="Times New Roman" w:cs="Times New Roman"/>
          <w:sz w:val="24"/>
          <w:szCs w:val="24"/>
        </w:rPr>
      </w:pPr>
      <w:r w:rsidRPr="007F3230">
        <w:rPr>
          <w:rFonts w:ascii="Times New Roman" w:eastAsia="Times New Roman" w:hAnsi="Times New Roman" w:cs="Times New Roman"/>
          <w:i/>
          <w:iCs/>
          <w:sz w:val="24"/>
          <w:szCs w:val="24"/>
        </w:rPr>
        <w:t>Evaluation of Evidence</w:t>
      </w:r>
      <w:r w:rsidRPr="007F3230">
        <w:rPr>
          <w:rFonts w:ascii="Times New Roman" w:eastAsia="Times New Roman" w:hAnsi="Times New Roman" w:cs="Times New Roman"/>
          <w:sz w:val="24"/>
          <w:szCs w:val="24"/>
        </w:rPr>
        <w:t>: Evaluators should assess aggregated evidence against department/school or college expectations and standards using a standardized measurement instrument (e.g., rubric, evaluation form).</w:t>
      </w:r>
    </w:p>
    <w:p w14:paraId="38F9CEFB" w14:textId="095923DE" w:rsidR="00AF73D7" w:rsidRPr="007F3230" w:rsidRDefault="002C4B89" w:rsidP="008A17F1">
      <w:pPr>
        <w:numPr>
          <w:ilvl w:val="0"/>
          <w:numId w:val="20"/>
        </w:numPr>
        <w:spacing w:before="120" w:after="120" w:line="240" w:lineRule="auto"/>
        <w:rPr>
          <w:rFonts w:ascii="Times New Roman" w:eastAsia="Times New Roman" w:hAnsi="Times New Roman" w:cs="Times New Roman"/>
          <w:sz w:val="24"/>
          <w:szCs w:val="24"/>
        </w:rPr>
      </w:pPr>
      <w:r w:rsidRPr="007F3230">
        <w:rPr>
          <w:rFonts w:ascii="Times New Roman" w:eastAsia="Times New Roman" w:hAnsi="Times New Roman" w:cs="Times New Roman"/>
          <w:i/>
          <w:iCs/>
          <w:sz w:val="24"/>
          <w:szCs w:val="24"/>
        </w:rPr>
        <w:t>Documentation</w:t>
      </w:r>
      <w:r w:rsidRPr="007F3230">
        <w:rPr>
          <w:rFonts w:ascii="Times New Roman" w:eastAsia="Times New Roman" w:hAnsi="Times New Roman" w:cs="Times New Roman"/>
          <w:sz w:val="24"/>
          <w:szCs w:val="24"/>
        </w:rPr>
        <w:t xml:space="preserve">: </w:t>
      </w:r>
      <w:r w:rsidR="0063275B" w:rsidRPr="007F3230">
        <w:rPr>
          <w:rFonts w:ascii="Times New Roman" w:eastAsia="Times New Roman" w:hAnsi="Times New Roman" w:cs="Times New Roman"/>
          <w:sz w:val="24"/>
          <w:szCs w:val="24"/>
        </w:rPr>
        <w:t>Evaluators should</w:t>
      </w:r>
      <w:r w:rsidR="00AC7641" w:rsidRPr="007F3230">
        <w:rPr>
          <w:rFonts w:ascii="Times New Roman" w:eastAsia="Times New Roman" w:hAnsi="Times New Roman" w:cs="Times New Roman"/>
          <w:sz w:val="24"/>
          <w:szCs w:val="24"/>
        </w:rPr>
        <w:t xml:space="preserve"> </w:t>
      </w:r>
      <w:r w:rsidR="0063275B" w:rsidRPr="007F3230">
        <w:rPr>
          <w:rFonts w:ascii="Times New Roman" w:eastAsia="Times New Roman" w:hAnsi="Times New Roman" w:cs="Times New Roman"/>
          <w:sz w:val="24"/>
          <w:szCs w:val="24"/>
        </w:rPr>
        <w:t>evaluate</w:t>
      </w:r>
      <w:r w:rsidRPr="007F3230">
        <w:rPr>
          <w:rFonts w:ascii="Times New Roman" w:eastAsia="Times New Roman" w:hAnsi="Times New Roman" w:cs="Times New Roman"/>
          <w:sz w:val="24"/>
          <w:szCs w:val="24"/>
        </w:rPr>
        <w:t xml:space="preserve"> evidence in relation to the selected teaching excellence criteria, aiming for objective and constructive </w:t>
      </w:r>
      <w:r w:rsidR="0063275B" w:rsidRPr="007F3230">
        <w:rPr>
          <w:rFonts w:ascii="Times New Roman" w:eastAsia="Times New Roman" w:hAnsi="Times New Roman" w:cs="Times New Roman"/>
          <w:sz w:val="24"/>
          <w:szCs w:val="24"/>
        </w:rPr>
        <w:t>formative or summative evaluations</w:t>
      </w:r>
      <w:r w:rsidRPr="007F3230">
        <w:rPr>
          <w:rFonts w:ascii="Times New Roman" w:eastAsia="Times New Roman" w:hAnsi="Times New Roman" w:cs="Times New Roman"/>
          <w:sz w:val="24"/>
          <w:szCs w:val="24"/>
        </w:rPr>
        <w:t>.</w:t>
      </w:r>
      <w:bookmarkEnd w:id="13"/>
    </w:p>
    <w:p w14:paraId="3A0029D9" w14:textId="3E266979" w:rsidR="002C4B89" w:rsidRPr="007F3230" w:rsidRDefault="002C4B89" w:rsidP="007F3230">
      <w:pPr>
        <w:pStyle w:val="Heading2"/>
      </w:pPr>
      <w:r w:rsidRPr="007F3230">
        <w:t>Feedback and Written Report</w:t>
      </w:r>
    </w:p>
    <w:p w14:paraId="335240C0" w14:textId="27497C5B" w:rsidR="002C4B89" w:rsidRPr="007F3230" w:rsidDel="005D4E11" w:rsidRDefault="002C4B89" w:rsidP="008A17F1">
      <w:pPr>
        <w:numPr>
          <w:ilvl w:val="0"/>
          <w:numId w:val="21"/>
        </w:numPr>
        <w:spacing w:before="120" w:after="120" w:line="240" w:lineRule="auto"/>
        <w:rPr>
          <w:rFonts w:ascii="Times New Roman" w:eastAsia="Times New Roman" w:hAnsi="Times New Roman" w:cs="Times New Roman"/>
          <w:sz w:val="24"/>
          <w:szCs w:val="24"/>
        </w:rPr>
      </w:pPr>
      <w:r w:rsidRPr="007F3230" w:rsidDel="005D4E11">
        <w:rPr>
          <w:rFonts w:ascii="Times New Roman" w:eastAsia="Times New Roman" w:hAnsi="Times New Roman" w:cs="Times New Roman"/>
          <w:i/>
          <w:iCs/>
          <w:sz w:val="24"/>
          <w:szCs w:val="24"/>
        </w:rPr>
        <w:t>Debriefing Meeting</w:t>
      </w:r>
      <w:r w:rsidRPr="007F3230" w:rsidDel="005D4E11">
        <w:rPr>
          <w:rFonts w:ascii="Times New Roman" w:eastAsia="Times New Roman" w:hAnsi="Times New Roman" w:cs="Times New Roman"/>
          <w:sz w:val="24"/>
          <w:szCs w:val="24"/>
        </w:rPr>
        <w:t xml:space="preserve">: </w:t>
      </w:r>
      <w:r w:rsidR="001B0B6D" w:rsidRPr="007F3230">
        <w:rPr>
          <w:rFonts w:ascii="Times New Roman" w:eastAsia="Times New Roman" w:hAnsi="Times New Roman" w:cs="Times New Roman"/>
          <w:sz w:val="24"/>
          <w:szCs w:val="24"/>
        </w:rPr>
        <w:t>Before the final report</w:t>
      </w:r>
      <w:r w:rsidR="00184EC9" w:rsidRPr="007F3230">
        <w:rPr>
          <w:rFonts w:ascii="Times New Roman" w:eastAsia="Times New Roman" w:hAnsi="Times New Roman" w:cs="Times New Roman"/>
          <w:sz w:val="24"/>
          <w:szCs w:val="24"/>
        </w:rPr>
        <w:t xml:space="preserve"> is written</w:t>
      </w:r>
      <w:r w:rsidRPr="007F3230" w:rsidDel="005D4E11">
        <w:rPr>
          <w:rFonts w:ascii="Times New Roman" w:eastAsia="Times New Roman" w:hAnsi="Times New Roman" w:cs="Times New Roman"/>
          <w:sz w:val="24"/>
          <w:szCs w:val="24"/>
        </w:rPr>
        <w:t xml:space="preserve">, the faculty </w:t>
      </w:r>
      <w:proofErr w:type="gramStart"/>
      <w:r w:rsidRPr="007F3230" w:rsidDel="005D4E11">
        <w:rPr>
          <w:rFonts w:ascii="Times New Roman" w:eastAsia="Times New Roman" w:hAnsi="Times New Roman" w:cs="Times New Roman"/>
          <w:sz w:val="24"/>
          <w:szCs w:val="24"/>
        </w:rPr>
        <w:t>member</w:t>
      </w:r>
      <w:proofErr w:type="gramEnd"/>
      <w:r w:rsidRPr="007F3230" w:rsidDel="005D4E11">
        <w:rPr>
          <w:rFonts w:ascii="Times New Roman" w:eastAsia="Times New Roman" w:hAnsi="Times New Roman" w:cs="Times New Roman"/>
          <w:sz w:val="24"/>
          <w:szCs w:val="24"/>
        </w:rPr>
        <w:t xml:space="preserve"> and </w:t>
      </w:r>
      <w:r w:rsidR="0063275B" w:rsidRPr="007F3230" w:rsidDel="005D4E11">
        <w:rPr>
          <w:rFonts w:ascii="Times New Roman" w:eastAsia="Times New Roman" w:hAnsi="Times New Roman" w:cs="Times New Roman"/>
          <w:sz w:val="24"/>
          <w:szCs w:val="24"/>
        </w:rPr>
        <w:t xml:space="preserve">evaluators </w:t>
      </w:r>
      <w:r w:rsidR="001B0B6D" w:rsidRPr="007F3230">
        <w:rPr>
          <w:rFonts w:ascii="Times New Roman" w:eastAsia="Times New Roman" w:hAnsi="Times New Roman" w:cs="Times New Roman"/>
          <w:sz w:val="24"/>
          <w:szCs w:val="24"/>
        </w:rPr>
        <w:t xml:space="preserve">may </w:t>
      </w:r>
      <w:r w:rsidRPr="007F3230" w:rsidDel="005D4E11">
        <w:rPr>
          <w:rFonts w:ascii="Times New Roman" w:eastAsia="Times New Roman" w:hAnsi="Times New Roman" w:cs="Times New Roman"/>
          <w:sz w:val="24"/>
          <w:szCs w:val="24"/>
        </w:rPr>
        <w:t xml:space="preserve">meet again to discuss </w:t>
      </w:r>
      <w:r w:rsidR="00184EC9" w:rsidRPr="007F3230" w:rsidDel="005D4E11">
        <w:rPr>
          <w:rFonts w:ascii="Times New Roman" w:eastAsia="Times New Roman" w:hAnsi="Times New Roman" w:cs="Times New Roman"/>
          <w:sz w:val="24"/>
          <w:szCs w:val="24"/>
        </w:rPr>
        <w:t>the results</w:t>
      </w:r>
      <w:r w:rsidRPr="007F3230" w:rsidDel="005D4E11">
        <w:rPr>
          <w:rFonts w:ascii="Times New Roman" w:eastAsia="Times New Roman" w:hAnsi="Times New Roman" w:cs="Times New Roman"/>
          <w:sz w:val="24"/>
          <w:szCs w:val="24"/>
        </w:rPr>
        <w:t xml:space="preserve">. The conversation </w:t>
      </w:r>
      <w:r w:rsidR="001B0B6D" w:rsidRPr="007F3230">
        <w:rPr>
          <w:rFonts w:ascii="Times New Roman" w:eastAsia="Times New Roman" w:hAnsi="Times New Roman" w:cs="Times New Roman"/>
          <w:sz w:val="24"/>
          <w:szCs w:val="24"/>
        </w:rPr>
        <w:t xml:space="preserve">may </w:t>
      </w:r>
      <w:r w:rsidR="001B0B6D" w:rsidRPr="007F3230" w:rsidDel="005D4E11">
        <w:rPr>
          <w:rFonts w:ascii="Times New Roman" w:eastAsia="Times New Roman" w:hAnsi="Times New Roman" w:cs="Times New Roman"/>
          <w:sz w:val="24"/>
          <w:szCs w:val="24"/>
        </w:rPr>
        <w:t>include</w:t>
      </w:r>
      <w:r w:rsidR="001B0B6D" w:rsidRPr="007F3230">
        <w:rPr>
          <w:rFonts w:ascii="Times New Roman" w:eastAsia="Times New Roman" w:hAnsi="Times New Roman" w:cs="Times New Roman"/>
          <w:sz w:val="24"/>
          <w:szCs w:val="24"/>
        </w:rPr>
        <w:t xml:space="preserve"> clarifications,</w:t>
      </w:r>
      <w:r w:rsidR="001B0B6D" w:rsidRPr="007F3230" w:rsidDel="005D4E11">
        <w:rPr>
          <w:rFonts w:ascii="Times New Roman" w:eastAsia="Times New Roman" w:hAnsi="Times New Roman" w:cs="Times New Roman"/>
          <w:sz w:val="24"/>
          <w:szCs w:val="24"/>
        </w:rPr>
        <w:t xml:space="preserve"> </w:t>
      </w:r>
      <w:r w:rsidRPr="007F3230" w:rsidDel="005D4E11">
        <w:rPr>
          <w:rFonts w:ascii="Times New Roman" w:eastAsia="Times New Roman" w:hAnsi="Times New Roman" w:cs="Times New Roman"/>
          <w:sz w:val="24"/>
          <w:szCs w:val="24"/>
        </w:rPr>
        <w:t>affirmations of strengths</w:t>
      </w:r>
      <w:r w:rsidR="001B0B6D" w:rsidRPr="007F3230">
        <w:rPr>
          <w:rFonts w:ascii="Times New Roman" w:eastAsia="Times New Roman" w:hAnsi="Times New Roman" w:cs="Times New Roman"/>
          <w:sz w:val="24"/>
          <w:szCs w:val="24"/>
        </w:rPr>
        <w:t>,</w:t>
      </w:r>
      <w:r w:rsidRPr="007F3230" w:rsidDel="005D4E11">
        <w:rPr>
          <w:rFonts w:ascii="Times New Roman" w:eastAsia="Times New Roman" w:hAnsi="Times New Roman" w:cs="Times New Roman"/>
          <w:sz w:val="24"/>
          <w:szCs w:val="24"/>
        </w:rPr>
        <w:t xml:space="preserve"> and suggestions for improvement.</w:t>
      </w:r>
    </w:p>
    <w:p w14:paraId="4A178DD2" w14:textId="307EA936" w:rsidR="002C4B89" w:rsidRPr="007F3230" w:rsidRDefault="002C4B89" w:rsidP="008A17F1">
      <w:pPr>
        <w:numPr>
          <w:ilvl w:val="0"/>
          <w:numId w:val="21"/>
        </w:numPr>
        <w:spacing w:before="120" w:after="120" w:line="240" w:lineRule="auto"/>
        <w:rPr>
          <w:rFonts w:ascii="Times New Roman" w:eastAsia="Times New Roman" w:hAnsi="Times New Roman" w:cs="Times New Roman"/>
          <w:sz w:val="24"/>
          <w:szCs w:val="24"/>
        </w:rPr>
      </w:pPr>
      <w:r w:rsidRPr="007F3230">
        <w:rPr>
          <w:rFonts w:ascii="Times New Roman" w:eastAsia="Times New Roman" w:hAnsi="Times New Roman" w:cs="Times New Roman"/>
          <w:i/>
          <w:iCs/>
          <w:sz w:val="24"/>
          <w:szCs w:val="24"/>
        </w:rPr>
        <w:t xml:space="preserve">Written </w:t>
      </w:r>
      <w:r w:rsidR="0063275B" w:rsidRPr="007F3230">
        <w:rPr>
          <w:rFonts w:ascii="Times New Roman" w:eastAsia="Times New Roman" w:hAnsi="Times New Roman" w:cs="Times New Roman"/>
          <w:i/>
          <w:iCs/>
          <w:sz w:val="24"/>
          <w:szCs w:val="24"/>
        </w:rPr>
        <w:t>Report</w:t>
      </w:r>
      <w:r w:rsidRPr="007F3230">
        <w:rPr>
          <w:rFonts w:ascii="Times New Roman" w:eastAsia="Times New Roman" w:hAnsi="Times New Roman" w:cs="Times New Roman"/>
          <w:sz w:val="24"/>
          <w:szCs w:val="24"/>
        </w:rPr>
        <w:t xml:space="preserve">: </w:t>
      </w:r>
      <w:r w:rsidR="0063275B" w:rsidRPr="007F3230">
        <w:rPr>
          <w:rFonts w:ascii="Times New Roman" w:eastAsia="Times New Roman" w:hAnsi="Times New Roman" w:cs="Times New Roman"/>
          <w:sz w:val="24"/>
          <w:szCs w:val="24"/>
        </w:rPr>
        <w:t>Evaluators should</w:t>
      </w:r>
      <w:r w:rsidRPr="007F3230">
        <w:rPr>
          <w:rFonts w:ascii="Times New Roman" w:eastAsia="Times New Roman" w:hAnsi="Times New Roman" w:cs="Times New Roman"/>
          <w:sz w:val="24"/>
          <w:szCs w:val="24"/>
        </w:rPr>
        <w:t xml:space="preserve"> prepare a written report that includes:</w:t>
      </w:r>
      <w:r w:rsidR="0063275B" w:rsidRPr="007F3230">
        <w:rPr>
          <w:rFonts w:ascii="Times New Roman" w:eastAsia="Times New Roman" w:hAnsi="Times New Roman" w:cs="Times New Roman"/>
          <w:sz w:val="24"/>
          <w:szCs w:val="24"/>
        </w:rPr>
        <w:t xml:space="preserve"> a</w:t>
      </w:r>
      <w:r w:rsidRPr="007F3230">
        <w:rPr>
          <w:rFonts w:ascii="Times New Roman" w:eastAsia="Times New Roman" w:hAnsi="Times New Roman" w:cs="Times New Roman"/>
          <w:sz w:val="24"/>
          <w:szCs w:val="24"/>
        </w:rPr>
        <w:t xml:space="preserve"> description of the </w:t>
      </w:r>
      <w:r w:rsidR="0063275B" w:rsidRPr="007F3230">
        <w:rPr>
          <w:rFonts w:ascii="Times New Roman" w:eastAsia="Times New Roman" w:hAnsi="Times New Roman" w:cs="Times New Roman"/>
          <w:sz w:val="24"/>
          <w:szCs w:val="24"/>
        </w:rPr>
        <w:t>evidence evaluated, assessments of</w:t>
      </w:r>
      <w:r w:rsidRPr="007F3230">
        <w:rPr>
          <w:rFonts w:ascii="Times New Roman" w:eastAsia="Times New Roman" w:hAnsi="Times New Roman" w:cs="Times New Roman"/>
          <w:sz w:val="24"/>
          <w:szCs w:val="24"/>
        </w:rPr>
        <w:t xml:space="preserve"> teaching e</w:t>
      </w:r>
      <w:r w:rsidR="0063275B" w:rsidRPr="007F3230">
        <w:rPr>
          <w:rFonts w:ascii="Times New Roman" w:eastAsia="Times New Roman" w:hAnsi="Times New Roman" w:cs="Times New Roman"/>
          <w:sz w:val="24"/>
          <w:szCs w:val="24"/>
        </w:rPr>
        <w:t>xcellence</w:t>
      </w:r>
      <w:r w:rsidRPr="007F3230">
        <w:rPr>
          <w:rFonts w:ascii="Times New Roman" w:eastAsia="Times New Roman" w:hAnsi="Times New Roman" w:cs="Times New Roman"/>
          <w:sz w:val="24"/>
          <w:szCs w:val="24"/>
        </w:rPr>
        <w:t xml:space="preserve"> based on selected criteria</w:t>
      </w:r>
      <w:r w:rsidR="0063275B" w:rsidRPr="007F3230">
        <w:rPr>
          <w:rFonts w:ascii="Times New Roman" w:eastAsia="Times New Roman" w:hAnsi="Times New Roman" w:cs="Times New Roman"/>
          <w:sz w:val="24"/>
          <w:szCs w:val="24"/>
        </w:rPr>
        <w:t>, and c</w:t>
      </w:r>
      <w:r w:rsidRPr="007F3230">
        <w:rPr>
          <w:rFonts w:ascii="Times New Roman" w:eastAsia="Times New Roman" w:hAnsi="Times New Roman" w:cs="Times New Roman"/>
          <w:sz w:val="24"/>
          <w:szCs w:val="24"/>
        </w:rPr>
        <w:t>onstructive, respectful feedback</w:t>
      </w:r>
      <w:r w:rsidR="0063275B" w:rsidRPr="007F3230">
        <w:rPr>
          <w:rFonts w:ascii="Times New Roman" w:eastAsia="Times New Roman" w:hAnsi="Times New Roman" w:cs="Times New Roman"/>
          <w:sz w:val="24"/>
          <w:szCs w:val="24"/>
        </w:rPr>
        <w:t xml:space="preserve"> focused on professional development in teaching, learning, and/or assessment. </w:t>
      </w:r>
      <w:r w:rsidR="004E77C0">
        <w:rPr>
          <w:rFonts w:ascii="Times New Roman" w:eastAsia="Times New Roman" w:hAnsi="Times New Roman" w:cs="Times New Roman"/>
          <w:sz w:val="24"/>
          <w:szCs w:val="24"/>
        </w:rPr>
        <w:t>Evaluators are encouraged to describe identified strengths and opportunities for professional development.</w:t>
      </w:r>
    </w:p>
    <w:p w14:paraId="6EF9C127" w14:textId="28352808" w:rsidR="005D4E11" w:rsidRPr="007F3230" w:rsidRDefault="002C4B89" w:rsidP="008A17F1">
      <w:pPr>
        <w:numPr>
          <w:ilvl w:val="0"/>
          <w:numId w:val="21"/>
        </w:numPr>
        <w:spacing w:before="120" w:after="120" w:line="240" w:lineRule="auto"/>
        <w:rPr>
          <w:rFonts w:ascii="Times New Roman" w:eastAsia="Times New Roman" w:hAnsi="Times New Roman" w:cs="Times New Roman"/>
          <w:sz w:val="24"/>
          <w:szCs w:val="24"/>
        </w:rPr>
      </w:pPr>
      <w:r w:rsidRPr="007F3230">
        <w:rPr>
          <w:rFonts w:ascii="Times New Roman" w:eastAsia="Times New Roman" w:hAnsi="Times New Roman" w:cs="Times New Roman"/>
          <w:i/>
          <w:iCs/>
          <w:sz w:val="24"/>
          <w:szCs w:val="24"/>
        </w:rPr>
        <w:t>Clarity and Support</w:t>
      </w:r>
      <w:r w:rsidRPr="007F3230">
        <w:rPr>
          <w:rFonts w:ascii="Times New Roman" w:eastAsia="Times New Roman" w:hAnsi="Times New Roman" w:cs="Times New Roman"/>
          <w:sz w:val="24"/>
          <w:szCs w:val="24"/>
        </w:rPr>
        <w:t>: The report should be written in clear, professional language, and framed to support the faculty member</w:t>
      </w:r>
      <w:r w:rsidR="00543774">
        <w:rPr>
          <w:rFonts w:ascii="Times New Roman" w:eastAsia="Times New Roman" w:hAnsi="Times New Roman" w:cs="Times New Roman"/>
          <w:sz w:val="24"/>
          <w:szCs w:val="24"/>
        </w:rPr>
        <w:t>'</w:t>
      </w:r>
      <w:r w:rsidRPr="007F3230">
        <w:rPr>
          <w:rFonts w:ascii="Times New Roman" w:eastAsia="Times New Roman" w:hAnsi="Times New Roman" w:cs="Times New Roman"/>
          <w:sz w:val="24"/>
          <w:szCs w:val="24"/>
        </w:rPr>
        <w:t xml:space="preserve">s </w:t>
      </w:r>
      <w:r w:rsidR="0063275B" w:rsidRPr="007F3230">
        <w:rPr>
          <w:rFonts w:ascii="Times New Roman" w:eastAsia="Times New Roman" w:hAnsi="Times New Roman" w:cs="Times New Roman"/>
          <w:sz w:val="24"/>
          <w:szCs w:val="24"/>
        </w:rPr>
        <w:t>professional</w:t>
      </w:r>
      <w:r w:rsidRPr="007F3230">
        <w:rPr>
          <w:rFonts w:ascii="Times New Roman" w:eastAsia="Times New Roman" w:hAnsi="Times New Roman" w:cs="Times New Roman"/>
          <w:sz w:val="24"/>
          <w:szCs w:val="24"/>
        </w:rPr>
        <w:t xml:space="preserve"> development.</w:t>
      </w:r>
    </w:p>
    <w:p w14:paraId="4EFCF908" w14:textId="1B03A234" w:rsidR="002C4B89" w:rsidRPr="007F3230" w:rsidRDefault="002C4B89" w:rsidP="007F3230">
      <w:pPr>
        <w:pStyle w:val="Heading2"/>
      </w:pPr>
      <w:r w:rsidRPr="007F3230">
        <w:t>Faculty Response</w:t>
      </w:r>
      <w:r w:rsidR="0063275B" w:rsidRPr="007F3230">
        <w:t xml:space="preserve"> </w:t>
      </w:r>
      <w:r w:rsidR="0063275B" w:rsidRPr="007F3230">
        <w:rPr>
          <w:i/>
          <w:iCs/>
        </w:rPr>
        <w:t>(Optional)</w:t>
      </w:r>
    </w:p>
    <w:p w14:paraId="77E3C7BD" w14:textId="346375C9" w:rsidR="002C4B89" w:rsidRPr="007F3230" w:rsidRDefault="002C4B89" w:rsidP="008A17F1">
      <w:pPr>
        <w:numPr>
          <w:ilvl w:val="0"/>
          <w:numId w:val="22"/>
        </w:numPr>
        <w:spacing w:before="120" w:after="120" w:line="240" w:lineRule="auto"/>
        <w:rPr>
          <w:rFonts w:ascii="Times New Roman" w:eastAsia="Times New Roman" w:hAnsi="Times New Roman" w:cs="Times New Roman"/>
          <w:sz w:val="24"/>
          <w:szCs w:val="24"/>
        </w:rPr>
      </w:pPr>
      <w:r w:rsidRPr="007F3230">
        <w:rPr>
          <w:rFonts w:ascii="Times New Roman" w:eastAsia="Times New Roman" w:hAnsi="Times New Roman" w:cs="Times New Roman"/>
          <w:i/>
          <w:iCs/>
          <w:sz w:val="24"/>
          <w:szCs w:val="24"/>
        </w:rPr>
        <w:t>Faculty Reflection</w:t>
      </w:r>
      <w:r w:rsidRPr="007F3230">
        <w:rPr>
          <w:rFonts w:ascii="Times New Roman" w:eastAsia="Times New Roman" w:hAnsi="Times New Roman" w:cs="Times New Roman"/>
          <w:sz w:val="24"/>
          <w:szCs w:val="24"/>
        </w:rPr>
        <w:t>: The faculty member may choose to write a formal response, which could include</w:t>
      </w:r>
      <w:r w:rsidR="0063275B" w:rsidRPr="007F3230">
        <w:rPr>
          <w:rFonts w:ascii="Times New Roman" w:eastAsia="Times New Roman" w:hAnsi="Times New Roman" w:cs="Times New Roman"/>
          <w:sz w:val="24"/>
          <w:szCs w:val="24"/>
        </w:rPr>
        <w:t xml:space="preserve"> r</w:t>
      </w:r>
      <w:r w:rsidRPr="007F3230">
        <w:rPr>
          <w:rFonts w:ascii="Times New Roman" w:eastAsia="Times New Roman" w:hAnsi="Times New Roman" w:cs="Times New Roman"/>
          <w:sz w:val="24"/>
          <w:szCs w:val="24"/>
        </w:rPr>
        <w:t>eflections on the feedback received</w:t>
      </w:r>
      <w:r w:rsidR="0063275B" w:rsidRPr="007F3230">
        <w:rPr>
          <w:rFonts w:ascii="Times New Roman" w:eastAsia="Times New Roman" w:hAnsi="Times New Roman" w:cs="Times New Roman"/>
          <w:sz w:val="24"/>
          <w:szCs w:val="24"/>
        </w:rPr>
        <w:t>, p</w:t>
      </w:r>
      <w:r w:rsidRPr="007F3230">
        <w:rPr>
          <w:rFonts w:ascii="Times New Roman" w:eastAsia="Times New Roman" w:hAnsi="Times New Roman" w:cs="Times New Roman"/>
          <w:sz w:val="24"/>
          <w:szCs w:val="24"/>
        </w:rPr>
        <w:t>lanned changes or areas of continued growth</w:t>
      </w:r>
      <w:r w:rsidR="0063275B" w:rsidRPr="007F3230">
        <w:rPr>
          <w:rFonts w:ascii="Times New Roman" w:eastAsia="Times New Roman" w:hAnsi="Times New Roman" w:cs="Times New Roman"/>
          <w:sz w:val="24"/>
          <w:szCs w:val="24"/>
        </w:rPr>
        <w:t>, and/or c</w:t>
      </w:r>
      <w:r w:rsidRPr="007F3230">
        <w:rPr>
          <w:rFonts w:ascii="Times New Roman" w:eastAsia="Times New Roman" w:hAnsi="Times New Roman" w:cs="Times New Roman"/>
          <w:sz w:val="24"/>
          <w:szCs w:val="24"/>
        </w:rPr>
        <w:t>larifications or additional context</w:t>
      </w:r>
      <w:r w:rsidR="0063275B" w:rsidRPr="007F3230">
        <w:rPr>
          <w:rFonts w:ascii="Times New Roman" w:eastAsia="Times New Roman" w:hAnsi="Times New Roman" w:cs="Times New Roman"/>
          <w:sz w:val="24"/>
          <w:szCs w:val="24"/>
        </w:rPr>
        <w:t>.</w:t>
      </w:r>
    </w:p>
    <w:p w14:paraId="6D5E5A44" w14:textId="2920054C" w:rsidR="0063275B" w:rsidRPr="007F3230" w:rsidRDefault="002C4B89" w:rsidP="008A17F1">
      <w:pPr>
        <w:numPr>
          <w:ilvl w:val="0"/>
          <w:numId w:val="22"/>
        </w:numPr>
        <w:spacing w:before="120" w:after="120" w:line="240" w:lineRule="auto"/>
        <w:rPr>
          <w:rFonts w:ascii="Times New Roman" w:eastAsia="Times New Roman" w:hAnsi="Times New Roman" w:cs="Times New Roman"/>
          <w:sz w:val="24"/>
          <w:szCs w:val="24"/>
        </w:rPr>
      </w:pPr>
      <w:r w:rsidRPr="007F3230">
        <w:rPr>
          <w:rFonts w:ascii="Times New Roman" w:eastAsia="Times New Roman" w:hAnsi="Times New Roman" w:cs="Times New Roman"/>
          <w:i/>
          <w:iCs/>
          <w:sz w:val="24"/>
          <w:szCs w:val="24"/>
        </w:rPr>
        <w:t>Documentation</w:t>
      </w:r>
      <w:r w:rsidRPr="007F3230">
        <w:rPr>
          <w:rFonts w:ascii="Times New Roman" w:eastAsia="Times New Roman" w:hAnsi="Times New Roman" w:cs="Times New Roman"/>
          <w:sz w:val="24"/>
          <w:szCs w:val="24"/>
        </w:rPr>
        <w:t xml:space="preserve">: Both the peer </w:t>
      </w:r>
      <w:r w:rsidR="0063275B" w:rsidRPr="007F3230">
        <w:rPr>
          <w:rFonts w:ascii="Times New Roman" w:eastAsia="Times New Roman" w:hAnsi="Times New Roman" w:cs="Times New Roman"/>
          <w:sz w:val="24"/>
          <w:szCs w:val="24"/>
        </w:rPr>
        <w:t>evaluation</w:t>
      </w:r>
      <w:r w:rsidRPr="007F3230">
        <w:rPr>
          <w:rFonts w:ascii="Times New Roman" w:eastAsia="Times New Roman" w:hAnsi="Times New Roman" w:cs="Times New Roman"/>
          <w:sz w:val="24"/>
          <w:szCs w:val="24"/>
        </w:rPr>
        <w:t xml:space="preserve"> report and optional faculty response may be included in the faculty member</w:t>
      </w:r>
      <w:r w:rsidR="00543774">
        <w:rPr>
          <w:rFonts w:ascii="Times New Roman" w:eastAsia="Times New Roman" w:hAnsi="Times New Roman" w:cs="Times New Roman"/>
          <w:sz w:val="24"/>
          <w:szCs w:val="24"/>
        </w:rPr>
        <w:t>'</w:t>
      </w:r>
      <w:r w:rsidRPr="007F3230">
        <w:rPr>
          <w:rFonts w:ascii="Times New Roman" w:eastAsia="Times New Roman" w:hAnsi="Times New Roman" w:cs="Times New Roman"/>
          <w:sz w:val="24"/>
          <w:szCs w:val="24"/>
        </w:rPr>
        <w:t>s teaching portfolio or evaluation file, subject to department</w:t>
      </w:r>
      <w:r w:rsidR="0063275B" w:rsidRPr="007F3230">
        <w:rPr>
          <w:rFonts w:ascii="Times New Roman" w:eastAsia="Times New Roman" w:hAnsi="Times New Roman" w:cs="Times New Roman"/>
          <w:sz w:val="24"/>
          <w:szCs w:val="24"/>
        </w:rPr>
        <w:t>/school</w:t>
      </w:r>
      <w:r w:rsidRPr="007F3230">
        <w:rPr>
          <w:rFonts w:ascii="Times New Roman" w:eastAsia="Times New Roman" w:hAnsi="Times New Roman" w:cs="Times New Roman"/>
          <w:sz w:val="24"/>
          <w:szCs w:val="24"/>
        </w:rPr>
        <w:t xml:space="preserve"> or college policy.</w:t>
      </w:r>
    </w:p>
    <w:p w14:paraId="6C861948" w14:textId="2C30708F" w:rsidR="0067148B" w:rsidRDefault="003E7405" w:rsidP="0063275B">
      <w:pPr>
        <w:spacing w:before="120" w:after="120" w:line="240" w:lineRule="auto"/>
        <w:rPr>
          <w:sz w:val="24"/>
          <w:szCs w:val="24"/>
        </w:rPr>
      </w:pPr>
      <w:r w:rsidRPr="007F3230">
        <w:rPr>
          <w:sz w:val="24"/>
          <w:szCs w:val="24"/>
        </w:rPr>
        <w:t xml:space="preserve">Faculty are encouraged to include peer </w:t>
      </w:r>
      <w:r w:rsidR="0063275B" w:rsidRPr="007F3230">
        <w:rPr>
          <w:sz w:val="24"/>
          <w:szCs w:val="24"/>
        </w:rPr>
        <w:t>evaluations</w:t>
      </w:r>
      <w:r w:rsidRPr="007F3230">
        <w:rPr>
          <w:sz w:val="24"/>
          <w:szCs w:val="24"/>
        </w:rPr>
        <w:t xml:space="preserve"> in their teaching portfolios or professional development plans.</w:t>
      </w:r>
    </w:p>
    <w:p w14:paraId="54F140AE" w14:textId="77777777" w:rsidR="001F792A" w:rsidRDefault="001F792A">
      <w:pPr>
        <w:rPr>
          <w:rFonts w:asciiTheme="majorHAnsi" w:eastAsiaTheme="majorEastAsia" w:hAnsiTheme="majorHAnsi" w:cstheme="majorBidi"/>
          <w:b/>
          <w:bCs/>
          <w:smallCaps/>
          <w:color w:val="000000" w:themeColor="text1"/>
          <w:sz w:val="36"/>
          <w:szCs w:val="36"/>
        </w:rPr>
      </w:pPr>
      <w:r>
        <w:br w:type="page"/>
      </w:r>
    </w:p>
    <w:p w14:paraId="1D5106D0" w14:textId="77777777" w:rsidR="00543774" w:rsidRDefault="00543774" w:rsidP="008B62F6">
      <w:pPr>
        <w:pStyle w:val="Heading1"/>
        <w:numPr>
          <w:ilvl w:val="0"/>
          <w:numId w:val="0"/>
        </w:numPr>
        <w:spacing w:line="240" w:lineRule="auto"/>
        <w:ind w:left="432" w:hanging="432"/>
        <w:jc w:val="center"/>
      </w:pPr>
      <w:bookmarkStart w:id="14" w:name="_Appendix"/>
      <w:bookmarkEnd w:id="14"/>
    </w:p>
    <w:p w14:paraId="500C9732" w14:textId="77777777" w:rsidR="00543774" w:rsidRDefault="00543774" w:rsidP="008B62F6">
      <w:pPr>
        <w:pStyle w:val="Heading1"/>
        <w:numPr>
          <w:ilvl w:val="0"/>
          <w:numId w:val="0"/>
        </w:numPr>
        <w:spacing w:line="240" w:lineRule="auto"/>
        <w:ind w:left="432" w:hanging="432"/>
        <w:jc w:val="center"/>
      </w:pPr>
    </w:p>
    <w:p w14:paraId="451ADC52" w14:textId="77777777" w:rsidR="00543774" w:rsidRDefault="00543774" w:rsidP="008B62F6">
      <w:pPr>
        <w:pStyle w:val="Heading1"/>
        <w:numPr>
          <w:ilvl w:val="0"/>
          <w:numId w:val="0"/>
        </w:numPr>
        <w:spacing w:line="240" w:lineRule="auto"/>
        <w:ind w:left="432" w:hanging="432"/>
        <w:jc w:val="center"/>
      </w:pPr>
    </w:p>
    <w:p w14:paraId="677196E0" w14:textId="77777777" w:rsidR="00543774" w:rsidRDefault="00543774" w:rsidP="008B62F6">
      <w:pPr>
        <w:pStyle w:val="Heading1"/>
        <w:numPr>
          <w:ilvl w:val="0"/>
          <w:numId w:val="0"/>
        </w:numPr>
        <w:spacing w:line="240" w:lineRule="auto"/>
        <w:ind w:left="432" w:hanging="432"/>
        <w:jc w:val="center"/>
      </w:pPr>
    </w:p>
    <w:p w14:paraId="60CE65F7" w14:textId="77777777" w:rsidR="00543774" w:rsidRDefault="00543774" w:rsidP="008B62F6">
      <w:pPr>
        <w:pStyle w:val="Heading1"/>
        <w:numPr>
          <w:ilvl w:val="0"/>
          <w:numId w:val="0"/>
        </w:numPr>
        <w:spacing w:line="240" w:lineRule="auto"/>
        <w:ind w:left="432" w:hanging="432"/>
        <w:jc w:val="center"/>
      </w:pPr>
    </w:p>
    <w:p w14:paraId="21DFDAE0" w14:textId="77777777" w:rsidR="00543774" w:rsidRDefault="00543774" w:rsidP="008B62F6">
      <w:pPr>
        <w:pStyle w:val="Heading1"/>
        <w:numPr>
          <w:ilvl w:val="0"/>
          <w:numId w:val="0"/>
        </w:numPr>
        <w:spacing w:line="240" w:lineRule="auto"/>
        <w:ind w:left="432" w:hanging="432"/>
        <w:jc w:val="center"/>
      </w:pPr>
    </w:p>
    <w:p w14:paraId="5E9F9A25" w14:textId="77777777" w:rsidR="00543774" w:rsidRDefault="00543774" w:rsidP="008B62F6">
      <w:pPr>
        <w:pStyle w:val="Heading1"/>
        <w:numPr>
          <w:ilvl w:val="0"/>
          <w:numId w:val="0"/>
        </w:numPr>
        <w:spacing w:line="240" w:lineRule="auto"/>
        <w:ind w:left="432" w:hanging="432"/>
        <w:jc w:val="center"/>
      </w:pPr>
    </w:p>
    <w:p w14:paraId="3FCD4BB5" w14:textId="1C38E119" w:rsidR="001F792A" w:rsidRDefault="001F792A" w:rsidP="008B62F6">
      <w:pPr>
        <w:pStyle w:val="Heading1"/>
        <w:numPr>
          <w:ilvl w:val="0"/>
          <w:numId w:val="0"/>
        </w:numPr>
        <w:spacing w:line="240" w:lineRule="auto"/>
        <w:ind w:left="432" w:hanging="432"/>
        <w:jc w:val="center"/>
      </w:pPr>
      <w:bookmarkStart w:id="15" w:name="_Toc202259814"/>
      <w:r>
        <w:t>Appendix</w:t>
      </w:r>
      <w:r w:rsidR="00543774">
        <w:t>: Examples</w:t>
      </w:r>
      <w:bookmarkEnd w:id="15"/>
    </w:p>
    <w:p w14:paraId="497C64FF" w14:textId="19DFCE78" w:rsidR="001F792A" w:rsidRDefault="001F792A">
      <w:pPr>
        <w:rPr>
          <w:sz w:val="24"/>
          <w:szCs w:val="24"/>
        </w:rPr>
      </w:pPr>
    </w:p>
    <w:p w14:paraId="200AC035" w14:textId="77777777" w:rsidR="00543774" w:rsidRDefault="00543774">
      <w:pPr>
        <w:rPr>
          <w:b/>
          <w:color w:val="000000" w:themeColor="text1"/>
          <w:sz w:val="32"/>
        </w:rPr>
      </w:pPr>
      <w:r>
        <w:br w:type="page"/>
      </w:r>
    </w:p>
    <w:p w14:paraId="7997F0E0" w14:textId="3CA4F9AA" w:rsidR="00820235" w:rsidRDefault="2C551B2F" w:rsidP="001F792A">
      <w:pPr>
        <w:pStyle w:val="IntenseQuote"/>
      </w:pPr>
      <w:r>
        <w:lastRenderedPageBreak/>
        <w:t xml:space="preserve">Example </w:t>
      </w:r>
      <w:r w:rsidR="023FD2D1">
        <w:t>1</w:t>
      </w:r>
      <w:r w:rsidR="361AA081">
        <w:t xml:space="preserve">: </w:t>
      </w:r>
    </w:p>
    <w:p w14:paraId="46262FD6" w14:textId="0B6CD916" w:rsidR="001F792A" w:rsidRPr="00820235" w:rsidRDefault="0083257A" w:rsidP="008B62F6">
      <w:pPr>
        <w:pStyle w:val="IntenseQuote"/>
        <w:rPr>
          <w:szCs w:val="32"/>
        </w:rPr>
      </w:pPr>
      <w:r>
        <w:rPr>
          <w:szCs w:val="32"/>
        </w:rPr>
        <w:t xml:space="preserve">Peer Evaluations in </w:t>
      </w:r>
      <w:r w:rsidR="00820235">
        <w:rPr>
          <w:szCs w:val="32"/>
        </w:rPr>
        <w:t>Annual Evaluation</w:t>
      </w:r>
      <w:r>
        <w:rPr>
          <w:szCs w:val="32"/>
        </w:rPr>
        <w:t>s</w:t>
      </w:r>
    </w:p>
    <w:p w14:paraId="0FCF4669" w14:textId="77777777" w:rsidR="001F792A" w:rsidRDefault="001F792A" w:rsidP="001F792A">
      <w:pPr>
        <w:spacing w:after="0" w:line="240" w:lineRule="auto"/>
        <w:rPr>
          <w:b/>
          <w:bCs/>
          <w:sz w:val="24"/>
          <w:szCs w:val="24"/>
        </w:rPr>
      </w:pPr>
    </w:p>
    <w:p w14:paraId="4205FAE9" w14:textId="4FFBF412" w:rsidR="001F792A" w:rsidRPr="008B62F6" w:rsidRDefault="001F792A" w:rsidP="001F792A">
      <w:pPr>
        <w:spacing w:after="0" w:line="240" w:lineRule="auto"/>
        <w:rPr>
          <w:b/>
          <w:bCs/>
          <w:sz w:val="24"/>
          <w:szCs w:val="24"/>
        </w:rPr>
      </w:pPr>
      <w:r w:rsidRPr="008B62F6">
        <w:rPr>
          <w:b/>
          <w:bCs/>
          <w:sz w:val="24"/>
          <w:szCs w:val="24"/>
        </w:rPr>
        <w:t>Hypothetical Scenario</w:t>
      </w:r>
    </w:p>
    <w:p w14:paraId="7A779222" w14:textId="77777777" w:rsidR="001F792A" w:rsidRPr="008B62F6" w:rsidRDefault="001F792A" w:rsidP="001F792A">
      <w:pPr>
        <w:spacing w:after="0" w:line="240" w:lineRule="auto"/>
        <w:rPr>
          <w:sz w:val="24"/>
          <w:szCs w:val="24"/>
        </w:rPr>
      </w:pPr>
    </w:p>
    <w:p w14:paraId="46B3F07A" w14:textId="77777777" w:rsidR="008B62F6" w:rsidRPr="008B62F6" w:rsidRDefault="008B62F6" w:rsidP="001F792A">
      <w:pPr>
        <w:spacing w:after="0" w:line="240" w:lineRule="auto"/>
        <w:rPr>
          <w:sz w:val="24"/>
          <w:szCs w:val="24"/>
          <w:u w:val="single"/>
        </w:rPr>
      </w:pPr>
      <w:r w:rsidRPr="008B62F6">
        <w:rPr>
          <w:sz w:val="24"/>
          <w:szCs w:val="24"/>
          <w:u w:val="single"/>
        </w:rPr>
        <w:t>College Requirements and Process</w:t>
      </w:r>
    </w:p>
    <w:p w14:paraId="567B7E66" w14:textId="489C52CA" w:rsidR="008B62F6" w:rsidRDefault="008B62F6" w:rsidP="001F792A">
      <w:pPr>
        <w:spacing w:after="0" w:line="240" w:lineRule="auto"/>
        <w:rPr>
          <w:sz w:val="24"/>
          <w:szCs w:val="24"/>
        </w:rPr>
      </w:pPr>
      <w:r w:rsidRPr="008B62F6">
        <w:rPr>
          <w:sz w:val="24"/>
          <w:szCs w:val="24"/>
        </w:rPr>
        <w:t>The college requires each department to create peer evaluation policies and processes that meet the minimum university requirements.</w:t>
      </w:r>
    </w:p>
    <w:p w14:paraId="7738DD0D" w14:textId="77777777" w:rsidR="008B62F6" w:rsidRDefault="008B62F6" w:rsidP="001F792A">
      <w:pPr>
        <w:spacing w:after="0" w:line="240" w:lineRule="auto"/>
        <w:rPr>
          <w:sz w:val="24"/>
          <w:szCs w:val="24"/>
        </w:rPr>
      </w:pPr>
    </w:p>
    <w:p w14:paraId="5D2C4EDF" w14:textId="053297C5" w:rsidR="008B62F6" w:rsidRPr="008B62F6" w:rsidRDefault="008B62F6" w:rsidP="001F792A">
      <w:pPr>
        <w:spacing w:after="0" w:line="240" w:lineRule="auto"/>
        <w:rPr>
          <w:sz w:val="24"/>
          <w:szCs w:val="24"/>
          <w:u w:val="single"/>
        </w:rPr>
      </w:pPr>
      <w:r w:rsidRPr="008B62F6">
        <w:rPr>
          <w:sz w:val="24"/>
          <w:szCs w:val="24"/>
          <w:u w:val="single"/>
        </w:rPr>
        <w:t>Department Requirements and Process</w:t>
      </w:r>
    </w:p>
    <w:p w14:paraId="582E2C38" w14:textId="35227FB3" w:rsidR="001F792A" w:rsidRPr="008B62F6" w:rsidRDefault="001F792A" w:rsidP="001F792A">
      <w:pPr>
        <w:spacing w:after="0" w:line="240" w:lineRule="auto"/>
        <w:rPr>
          <w:sz w:val="24"/>
          <w:szCs w:val="24"/>
        </w:rPr>
      </w:pPr>
      <w:r w:rsidRPr="008B62F6">
        <w:rPr>
          <w:sz w:val="24"/>
          <w:szCs w:val="24"/>
        </w:rPr>
        <w:t>The department has adopted a system for peer evaluations of teaching as part of their annual evaluation process. The department</w:t>
      </w:r>
      <w:r w:rsidR="00543774">
        <w:rPr>
          <w:sz w:val="24"/>
          <w:szCs w:val="24"/>
        </w:rPr>
        <w:t>'</w:t>
      </w:r>
      <w:r w:rsidRPr="008B62F6">
        <w:rPr>
          <w:sz w:val="24"/>
          <w:szCs w:val="24"/>
        </w:rPr>
        <w:t>s guidelines state faculty evaluations should:</w:t>
      </w:r>
    </w:p>
    <w:p w14:paraId="7E634292" w14:textId="77777777" w:rsidR="001F792A" w:rsidRPr="008B62F6" w:rsidRDefault="001F792A" w:rsidP="008A17F1">
      <w:pPr>
        <w:pStyle w:val="ListParagraph"/>
        <w:numPr>
          <w:ilvl w:val="0"/>
          <w:numId w:val="24"/>
        </w:numPr>
        <w:spacing w:after="0" w:line="240" w:lineRule="auto"/>
        <w:rPr>
          <w:sz w:val="24"/>
          <w:szCs w:val="24"/>
        </w:rPr>
      </w:pPr>
      <w:r w:rsidRPr="008B62F6">
        <w:rPr>
          <w:sz w:val="24"/>
          <w:szCs w:val="24"/>
        </w:rPr>
        <w:t>Include evidence selected by the faculty member.</w:t>
      </w:r>
    </w:p>
    <w:p w14:paraId="40FDE043" w14:textId="77777777" w:rsidR="001F792A" w:rsidRPr="008B62F6" w:rsidRDefault="001F792A" w:rsidP="008A17F1">
      <w:pPr>
        <w:pStyle w:val="ListParagraph"/>
        <w:numPr>
          <w:ilvl w:val="0"/>
          <w:numId w:val="24"/>
        </w:numPr>
        <w:spacing w:after="0" w:line="240" w:lineRule="auto"/>
        <w:rPr>
          <w:sz w:val="24"/>
          <w:szCs w:val="24"/>
        </w:rPr>
      </w:pPr>
      <w:r w:rsidRPr="008B62F6">
        <w:rPr>
          <w:sz w:val="24"/>
          <w:szCs w:val="24"/>
        </w:rPr>
        <w:t>Include evidence from at least two different sources.</w:t>
      </w:r>
    </w:p>
    <w:p w14:paraId="669142AE" w14:textId="5A1E19F0" w:rsidR="001F792A" w:rsidRPr="008B62F6" w:rsidRDefault="001F792A" w:rsidP="008A17F1">
      <w:pPr>
        <w:pStyle w:val="ListParagraph"/>
        <w:numPr>
          <w:ilvl w:val="0"/>
          <w:numId w:val="24"/>
        </w:numPr>
        <w:spacing w:after="0" w:line="240" w:lineRule="auto"/>
        <w:rPr>
          <w:sz w:val="24"/>
          <w:szCs w:val="24"/>
        </w:rPr>
      </w:pPr>
      <w:r w:rsidRPr="008B62F6">
        <w:rPr>
          <w:sz w:val="24"/>
          <w:szCs w:val="24"/>
        </w:rPr>
        <w:t xml:space="preserve">Focus on at least three teaching excellence </w:t>
      </w:r>
      <w:r w:rsidR="000470BF" w:rsidRPr="008B62F6">
        <w:rPr>
          <w:sz w:val="24"/>
          <w:szCs w:val="24"/>
        </w:rPr>
        <w:t>criteri</w:t>
      </w:r>
      <w:r w:rsidR="000470BF">
        <w:rPr>
          <w:sz w:val="24"/>
          <w:szCs w:val="24"/>
        </w:rPr>
        <w:t>a</w:t>
      </w:r>
      <w:r w:rsidR="000470BF" w:rsidRPr="008B62F6">
        <w:rPr>
          <w:sz w:val="24"/>
          <w:szCs w:val="24"/>
        </w:rPr>
        <w:t xml:space="preserve"> </w:t>
      </w:r>
      <w:r w:rsidRPr="008B62F6">
        <w:rPr>
          <w:sz w:val="24"/>
          <w:szCs w:val="24"/>
        </w:rPr>
        <w:t>selected by the faculty member.</w:t>
      </w:r>
    </w:p>
    <w:p w14:paraId="6DB7ECF8" w14:textId="77777777" w:rsidR="001F792A" w:rsidRPr="008B62F6" w:rsidRDefault="001F792A" w:rsidP="001F792A">
      <w:pPr>
        <w:spacing w:after="0" w:line="240" w:lineRule="auto"/>
        <w:rPr>
          <w:sz w:val="24"/>
          <w:szCs w:val="24"/>
        </w:rPr>
      </w:pPr>
    </w:p>
    <w:p w14:paraId="358CFC62" w14:textId="7CBB0CF8" w:rsidR="008B62F6" w:rsidRPr="008B62F6" w:rsidRDefault="008B62F6" w:rsidP="001F792A">
      <w:pPr>
        <w:spacing w:after="0" w:line="240" w:lineRule="auto"/>
        <w:rPr>
          <w:sz w:val="24"/>
          <w:szCs w:val="24"/>
          <w:u w:val="single"/>
        </w:rPr>
      </w:pPr>
      <w:r w:rsidRPr="008B62F6">
        <w:rPr>
          <w:sz w:val="24"/>
          <w:szCs w:val="24"/>
          <w:u w:val="single"/>
        </w:rPr>
        <w:t>Sample Faculty Members</w:t>
      </w:r>
    </w:p>
    <w:p w14:paraId="440AC52E" w14:textId="02E884E8" w:rsidR="001F792A" w:rsidRPr="008B62F6" w:rsidRDefault="6D475FDB" w:rsidP="001F792A">
      <w:pPr>
        <w:spacing w:after="0" w:line="240" w:lineRule="auto"/>
        <w:rPr>
          <w:sz w:val="24"/>
          <w:szCs w:val="24"/>
        </w:rPr>
      </w:pPr>
      <w:r w:rsidRPr="14B79C40">
        <w:rPr>
          <w:sz w:val="24"/>
          <w:szCs w:val="24"/>
        </w:rPr>
        <w:t>T</w:t>
      </w:r>
      <w:r w:rsidR="2C551B2F" w:rsidRPr="14B79C40">
        <w:rPr>
          <w:sz w:val="24"/>
          <w:szCs w:val="24"/>
        </w:rPr>
        <w:t>he faculty member is preparing their materials for their annual evaluation. The faculty member has opted to focus on pedagogical competence, engagement, and improvement. The faculty member has chosen self-assessment and student outcomes as their evidence.</w:t>
      </w:r>
    </w:p>
    <w:p w14:paraId="6C3B3C84" w14:textId="77777777" w:rsidR="001F792A" w:rsidRPr="008B62F6" w:rsidRDefault="001F792A" w:rsidP="001F792A">
      <w:pPr>
        <w:spacing w:after="0" w:line="240" w:lineRule="auto"/>
        <w:rPr>
          <w:sz w:val="24"/>
          <w:szCs w:val="24"/>
        </w:rPr>
      </w:pPr>
    </w:p>
    <w:p w14:paraId="378D86BE" w14:textId="77777777" w:rsidR="001F792A" w:rsidRPr="008B62F6" w:rsidRDefault="001F792A" w:rsidP="001F792A">
      <w:pPr>
        <w:spacing w:after="0" w:line="240" w:lineRule="auto"/>
        <w:rPr>
          <w:b/>
          <w:bCs/>
          <w:sz w:val="24"/>
          <w:szCs w:val="24"/>
        </w:rPr>
      </w:pPr>
      <w:r w:rsidRPr="008B62F6">
        <w:rPr>
          <w:b/>
          <w:bCs/>
          <w:sz w:val="24"/>
          <w:szCs w:val="24"/>
        </w:rPr>
        <w:t>Steps in the Process</w:t>
      </w:r>
    </w:p>
    <w:p w14:paraId="4B770B5A" w14:textId="77777777" w:rsidR="001F792A" w:rsidRPr="008B62F6" w:rsidRDefault="001F792A" w:rsidP="008A17F1">
      <w:pPr>
        <w:pStyle w:val="ListParagraph"/>
        <w:numPr>
          <w:ilvl w:val="0"/>
          <w:numId w:val="30"/>
        </w:numPr>
        <w:spacing w:before="120" w:after="120" w:line="240" w:lineRule="auto"/>
        <w:contextualSpacing w:val="0"/>
        <w:rPr>
          <w:sz w:val="24"/>
          <w:szCs w:val="24"/>
        </w:rPr>
      </w:pPr>
      <w:r w:rsidRPr="008B62F6">
        <w:rPr>
          <w:i/>
          <w:iCs/>
          <w:sz w:val="24"/>
          <w:szCs w:val="24"/>
        </w:rPr>
        <w:t>Evaluator Selection and Training</w:t>
      </w:r>
      <w:r w:rsidRPr="008B62F6">
        <w:rPr>
          <w:sz w:val="24"/>
          <w:szCs w:val="24"/>
        </w:rPr>
        <w:t>. The department chair meets with the annual evaluation committee to discuss their charge, including peer evaluation of teaching.</w:t>
      </w:r>
    </w:p>
    <w:p w14:paraId="30FB5DDA" w14:textId="77777777" w:rsidR="001F792A" w:rsidRPr="008B62F6" w:rsidRDefault="001F792A" w:rsidP="008A17F1">
      <w:pPr>
        <w:pStyle w:val="ListParagraph"/>
        <w:numPr>
          <w:ilvl w:val="0"/>
          <w:numId w:val="30"/>
        </w:numPr>
        <w:spacing w:before="120" w:after="120" w:line="240" w:lineRule="auto"/>
        <w:contextualSpacing w:val="0"/>
        <w:rPr>
          <w:sz w:val="24"/>
          <w:szCs w:val="24"/>
        </w:rPr>
      </w:pPr>
      <w:r w:rsidRPr="008B62F6">
        <w:rPr>
          <w:i/>
          <w:iCs/>
          <w:sz w:val="24"/>
          <w:szCs w:val="24"/>
        </w:rPr>
        <w:t>Faculty Input and Goal Setting</w:t>
      </w:r>
      <w:r w:rsidRPr="008B62F6">
        <w:rPr>
          <w:sz w:val="24"/>
          <w:szCs w:val="24"/>
        </w:rPr>
        <w:t>. Not applicable; the annual evaluation guidelines already establish faculty input and goals.</w:t>
      </w:r>
    </w:p>
    <w:p w14:paraId="364C4C16" w14:textId="77777777" w:rsidR="001F792A" w:rsidRPr="008B62F6" w:rsidRDefault="001F792A" w:rsidP="008A17F1">
      <w:pPr>
        <w:pStyle w:val="ListParagraph"/>
        <w:numPr>
          <w:ilvl w:val="0"/>
          <w:numId w:val="30"/>
        </w:numPr>
        <w:spacing w:before="120" w:after="120" w:line="240" w:lineRule="auto"/>
        <w:contextualSpacing w:val="0"/>
        <w:rPr>
          <w:sz w:val="24"/>
          <w:szCs w:val="24"/>
        </w:rPr>
      </w:pPr>
      <w:r w:rsidRPr="008B62F6">
        <w:rPr>
          <w:i/>
          <w:iCs/>
          <w:sz w:val="24"/>
          <w:szCs w:val="24"/>
        </w:rPr>
        <w:t>Evidence Collection</w:t>
      </w:r>
      <w:r w:rsidRPr="008B62F6">
        <w:rPr>
          <w:sz w:val="24"/>
          <w:szCs w:val="24"/>
        </w:rPr>
        <w:t xml:space="preserve">. The faculty </w:t>
      </w:r>
      <w:proofErr w:type="gramStart"/>
      <w:r w:rsidRPr="008B62F6">
        <w:rPr>
          <w:sz w:val="24"/>
          <w:szCs w:val="24"/>
        </w:rPr>
        <w:t>member prepares</w:t>
      </w:r>
      <w:proofErr w:type="gramEnd"/>
      <w:r w:rsidRPr="008B62F6">
        <w:rPr>
          <w:sz w:val="24"/>
          <w:szCs w:val="24"/>
        </w:rPr>
        <w:t xml:space="preserve"> their self-assessment, including a report of CTLA programs they participated in to improve their pedagogical competencies, their student evaluations of teaching, and assessment of learning outcomes they collected for program assessment.</w:t>
      </w:r>
    </w:p>
    <w:p w14:paraId="280FC44E" w14:textId="77777777" w:rsidR="001F792A" w:rsidRPr="008B62F6" w:rsidRDefault="001F792A" w:rsidP="008A17F1">
      <w:pPr>
        <w:pStyle w:val="ListParagraph"/>
        <w:numPr>
          <w:ilvl w:val="0"/>
          <w:numId w:val="30"/>
        </w:numPr>
        <w:spacing w:before="120" w:after="120" w:line="240" w:lineRule="auto"/>
        <w:contextualSpacing w:val="0"/>
        <w:rPr>
          <w:sz w:val="24"/>
          <w:szCs w:val="24"/>
        </w:rPr>
      </w:pPr>
      <w:r w:rsidRPr="008B62F6">
        <w:rPr>
          <w:i/>
          <w:iCs/>
          <w:sz w:val="24"/>
          <w:szCs w:val="24"/>
        </w:rPr>
        <w:t>Evaluation</w:t>
      </w:r>
      <w:r w:rsidRPr="008B62F6">
        <w:rPr>
          <w:sz w:val="24"/>
          <w:szCs w:val="24"/>
        </w:rPr>
        <w:t>. The annual evaluation committee reviews the submitted materials as part of their annual evaluation process.</w:t>
      </w:r>
    </w:p>
    <w:p w14:paraId="7FEAB5C8" w14:textId="77777777" w:rsidR="001F792A" w:rsidRPr="008B62F6" w:rsidRDefault="001F792A" w:rsidP="008A17F1">
      <w:pPr>
        <w:pStyle w:val="ListParagraph"/>
        <w:numPr>
          <w:ilvl w:val="0"/>
          <w:numId w:val="30"/>
        </w:numPr>
        <w:spacing w:line="240" w:lineRule="auto"/>
        <w:rPr>
          <w:sz w:val="24"/>
          <w:szCs w:val="24"/>
        </w:rPr>
      </w:pPr>
      <w:r w:rsidRPr="008B62F6">
        <w:rPr>
          <w:i/>
          <w:iCs/>
          <w:sz w:val="24"/>
          <w:szCs w:val="24"/>
        </w:rPr>
        <w:t>Written Report</w:t>
      </w:r>
      <w:r w:rsidRPr="008B62F6">
        <w:rPr>
          <w:sz w:val="24"/>
          <w:szCs w:val="24"/>
        </w:rPr>
        <w:t xml:space="preserve">. The chair of the annual evaluation committee writes a short, one-page report that includes a description of the evidence evaluated, assessments of teaching excellence based on selected criteria, and constructive, respectful feedback focused on professional development in teaching, learning, and/or assessment. The chair sends the report to the department chair. The department chair shares the report with the faculty </w:t>
      </w:r>
      <w:proofErr w:type="gramStart"/>
      <w:r w:rsidRPr="008B62F6">
        <w:rPr>
          <w:sz w:val="24"/>
          <w:szCs w:val="24"/>
        </w:rPr>
        <w:t>member</w:t>
      </w:r>
      <w:proofErr w:type="gramEnd"/>
      <w:r w:rsidRPr="008B62F6">
        <w:rPr>
          <w:sz w:val="24"/>
          <w:szCs w:val="24"/>
        </w:rPr>
        <w:t xml:space="preserve"> during their one-on-one meeting to discuss their annual evaluation.</w:t>
      </w:r>
    </w:p>
    <w:p w14:paraId="6A4CA480" w14:textId="77777777" w:rsidR="001F792A" w:rsidRPr="008B62F6" w:rsidRDefault="001F792A" w:rsidP="001F792A">
      <w:pPr>
        <w:spacing w:after="0" w:line="240" w:lineRule="auto"/>
        <w:rPr>
          <w:sz w:val="24"/>
          <w:szCs w:val="24"/>
        </w:rPr>
      </w:pPr>
    </w:p>
    <w:p w14:paraId="194FC39B" w14:textId="77777777" w:rsidR="001F792A" w:rsidRPr="008B62F6" w:rsidRDefault="001F792A" w:rsidP="001F792A">
      <w:pPr>
        <w:spacing w:after="0" w:line="240" w:lineRule="auto"/>
        <w:rPr>
          <w:b/>
          <w:bCs/>
          <w:sz w:val="24"/>
          <w:szCs w:val="24"/>
        </w:rPr>
      </w:pPr>
      <w:r w:rsidRPr="008B62F6">
        <w:rPr>
          <w:b/>
          <w:bCs/>
          <w:sz w:val="24"/>
          <w:szCs w:val="24"/>
        </w:rPr>
        <w:t>Documentation / Record Keeping</w:t>
      </w:r>
    </w:p>
    <w:p w14:paraId="240FC383" w14:textId="77777777" w:rsidR="001F792A" w:rsidRPr="008B62F6" w:rsidRDefault="001F792A" w:rsidP="001F792A">
      <w:pPr>
        <w:spacing w:after="0" w:line="240" w:lineRule="auto"/>
        <w:rPr>
          <w:sz w:val="24"/>
          <w:szCs w:val="24"/>
        </w:rPr>
      </w:pPr>
    </w:p>
    <w:p w14:paraId="0BCC46E5" w14:textId="77777777" w:rsidR="001F792A" w:rsidRDefault="001F792A" w:rsidP="001F792A">
      <w:pPr>
        <w:spacing w:after="0" w:line="240" w:lineRule="auto"/>
      </w:pPr>
      <w:r w:rsidRPr="008B62F6">
        <w:rPr>
          <w:sz w:val="24"/>
          <w:szCs w:val="24"/>
        </w:rPr>
        <w:lastRenderedPageBreak/>
        <w:t xml:space="preserve">Per college policy, the department </w:t>
      </w:r>
      <w:r w:rsidRPr="00EC696E">
        <w:rPr>
          <w:sz w:val="24"/>
          <w:szCs w:val="24"/>
        </w:rPr>
        <w:t>chair retains a record of the annual evaluation and the date the evaluation was completed.</w:t>
      </w:r>
    </w:p>
    <w:p w14:paraId="56112D34" w14:textId="77777777" w:rsidR="001F792A" w:rsidRDefault="001F792A" w:rsidP="00315AE1">
      <w:pPr>
        <w:pStyle w:val="NoSpacing"/>
      </w:pPr>
    </w:p>
    <w:p w14:paraId="20F20752" w14:textId="77777777" w:rsidR="001F792A" w:rsidRDefault="001F792A">
      <w:r>
        <w:br w:type="page"/>
      </w:r>
    </w:p>
    <w:p w14:paraId="4DD5D5A4" w14:textId="2E33B3C9" w:rsidR="00820235" w:rsidRPr="008B62F6" w:rsidRDefault="2C551B2F" w:rsidP="14B79C40">
      <w:pPr>
        <w:pStyle w:val="IntenseQuote"/>
        <w:rPr>
          <w:color w:val="auto"/>
        </w:rPr>
      </w:pPr>
      <w:r>
        <w:lastRenderedPageBreak/>
        <w:t xml:space="preserve">Example </w:t>
      </w:r>
      <w:r w:rsidR="023FD2D1" w:rsidRPr="14B79C40">
        <w:rPr>
          <w:color w:val="auto"/>
        </w:rPr>
        <w:t>2</w:t>
      </w:r>
      <w:r w:rsidR="361AA081" w:rsidRPr="14B79C40">
        <w:rPr>
          <w:color w:val="auto"/>
        </w:rPr>
        <w:t>:</w:t>
      </w:r>
    </w:p>
    <w:p w14:paraId="2EE32A54" w14:textId="40C7CD66" w:rsidR="001F792A" w:rsidRPr="008B62F6" w:rsidRDefault="00820235" w:rsidP="008B62F6">
      <w:pPr>
        <w:pStyle w:val="IntenseQuote"/>
        <w:rPr>
          <w:color w:val="auto"/>
          <w:szCs w:val="32"/>
        </w:rPr>
      </w:pPr>
      <w:r w:rsidRPr="008B62F6">
        <w:rPr>
          <w:color w:val="auto"/>
          <w:szCs w:val="32"/>
        </w:rPr>
        <w:t>Annual Evaluation</w:t>
      </w:r>
      <w:r w:rsidR="0083257A">
        <w:rPr>
          <w:color w:val="auto"/>
          <w:szCs w:val="32"/>
        </w:rPr>
        <w:t xml:space="preserve"> with Peer Evaluation Committee</w:t>
      </w:r>
    </w:p>
    <w:p w14:paraId="5633F1AE" w14:textId="77777777" w:rsidR="00820235" w:rsidRDefault="00820235" w:rsidP="001F792A">
      <w:pPr>
        <w:spacing w:after="0" w:line="240" w:lineRule="auto"/>
        <w:rPr>
          <w:b/>
          <w:bCs/>
          <w:sz w:val="24"/>
          <w:szCs w:val="24"/>
        </w:rPr>
      </w:pPr>
    </w:p>
    <w:p w14:paraId="16675DF5" w14:textId="5D8BC5E6" w:rsidR="001F792A" w:rsidRPr="008B62F6" w:rsidRDefault="001F792A" w:rsidP="008B62F6">
      <w:pPr>
        <w:spacing w:after="0" w:line="240" w:lineRule="auto"/>
        <w:rPr>
          <w:sz w:val="24"/>
          <w:szCs w:val="24"/>
        </w:rPr>
      </w:pPr>
      <w:r w:rsidRPr="008B62F6">
        <w:rPr>
          <w:b/>
          <w:bCs/>
          <w:sz w:val="24"/>
          <w:szCs w:val="24"/>
        </w:rPr>
        <w:t>Hypothetical Scenario</w:t>
      </w:r>
      <w:r w:rsidRPr="008B62F6">
        <w:rPr>
          <w:sz w:val="24"/>
          <w:szCs w:val="24"/>
        </w:rPr>
        <w:t> </w:t>
      </w:r>
    </w:p>
    <w:p w14:paraId="226DE78F" w14:textId="77777777" w:rsidR="001F792A" w:rsidRDefault="001F792A" w:rsidP="001F792A">
      <w:pPr>
        <w:spacing w:after="0" w:line="240" w:lineRule="auto"/>
        <w:rPr>
          <w:sz w:val="24"/>
          <w:szCs w:val="24"/>
        </w:rPr>
      </w:pPr>
    </w:p>
    <w:p w14:paraId="2AA6B185" w14:textId="77777777" w:rsidR="008B62F6" w:rsidRPr="008B62F6" w:rsidRDefault="008B62F6" w:rsidP="008B62F6">
      <w:pPr>
        <w:spacing w:after="0" w:line="240" w:lineRule="auto"/>
        <w:rPr>
          <w:sz w:val="24"/>
          <w:szCs w:val="24"/>
          <w:u w:val="single"/>
        </w:rPr>
      </w:pPr>
      <w:r w:rsidRPr="008B62F6">
        <w:rPr>
          <w:sz w:val="24"/>
          <w:szCs w:val="24"/>
          <w:u w:val="single"/>
        </w:rPr>
        <w:t>College Requirements and Process</w:t>
      </w:r>
    </w:p>
    <w:p w14:paraId="6F33DCF8" w14:textId="4C3D71BA" w:rsidR="008B62F6" w:rsidRDefault="001F792A" w:rsidP="008B62F6">
      <w:pPr>
        <w:spacing w:after="0" w:line="240" w:lineRule="auto"/>
        <w:rPr>
          <w:sz w:val="24"/>
          <w:szCs w:val="24"/>
        </w:rPr>
      </w:pPr>
      <w:r w:rsidRPr="008B62F6">
        <w:rPr>
          <w:sz w:val="24"/>
          <w:szCs w:val="24"/>
        </w:rPr>
        <w:t>A college has established a policy that peer evaluations of teaching are to occur on an annual basis as a part of each faculty member</w:t>
      </w:r>
      <w:r w:rsidR="00543774">
        <w:rPr>
          <w:sz w:val="24"/>
          <w:szCs w:val="24"/>
        </w:rPr>
        <w:t>'</w:t>
      </w:r>
      <w:r w:rsidRPr="008B62F6">
        <w:rPr>
          <w:sz w:val="24"/>
          <w:szCs w:val="24"/>
        </w:rPr>
        <w:t xml:space="preserve">s annual evaluation. </w:t>
      </w:r>
    </w:p>
    <w:p w14:paraId="2A556315" w14:textId="77777777" w:rsidR="008B62F6" w:rsidRDefault="008B62F6" w:rsidP="008B62F6">
      <w:pPr>
        <w:spacing w:after="0" w:line="240" w:lineRule="auto"/>
        <w:rPr>
          <w:sz w:val="24"/>
          <w:szCs w:val="24"/>
        </w:rPr>
      </w:pPr>
    </w:p>
    <w:p w14:paraId="1C5CB3EB" w14:textId="77777777" w:rsidR="008B62F6" w:rsidRPr="008B62F6" w:rsidRDefault="008B62F6" w:rsidP="008B62F6">
      <w:pPr>
        <w:spacing w:after="0" w:line="240" w:lineRule="auto"/>
        <w:rPr>
          <w:sz w:val="24"/>
          <w:szCs w:val="24"/>
          <w:u w:val="single"/>
        </w:rPr>
      </w:pPr>
      <w:r w:rsidRPr="008B62F6">
        <w:rPr>
          <w:sz w:val="24"/>
          <w:szCs w:val="24"/>
          <w:u w:val="single"/>
        </w:rPr>
        <w:t>Department Committee</w:t>
      </w:r>
    </w:p>
    <w:p w14:paraId="1D99B099" w14:textId="0BDD5DC3" w:rsidR="001F792A" w:rsidRPr="008B62F6" w:rsidRDefault="001F792A" w:rsidP="008B62F6">
      <w:pPr>
        <w:spacing w:after="0" w:line="240" w:lineRule="auto"/>
        <w:rPr>
          <w:sz w:val="24"/>
          <w:szCs w:val="24"/>
        </w:rPr>
      </w:pPr>
      <w:r w:rsidRPr="008B62F6">
        <w:rPr>
          <w:sz w:val="24"/>
          <w:szCs w:val="24"/>
        </w:rPr>
        <w:t>In accordance with the annual evaluation process, department chairs from each department within the college form peer evaluation committees in the fall semester which assess the performance of their peers</w:t>
      </w:r>
      <w:r w:rsidR="00543774">
        <w:rPr>
          <w:sz w:val="24"/>
          <w:szCs w:val="24"/>
        </w:rPr>
        <w:t>'</w:t>
      </w:r>
      <w:r w:rsidRPr="008B62F6">
        <w:rPr>
          <w:sz w:val="24"/>
          <w:szCs w:val="24"/>
        </w:rPr>
        <w:t xml:space="preserve"> teaching, sustained engagement, and service activities. New members of peer evaluation committees are encouraged to attend an orientation session with staff from the CTLA. The orientation meeting provides information about the process, evaluation tools, teaching excellence criteria, and suggestions for bias mitigation.</w:t>
      </w:r>
    </w:p>
    <w:p w14:paraId="1A0F209B" w14:textId="77777777" w:rsidR="001F792A" w:rsidRDefault="001F792A" w:rsidP="001F792A">
      <w:pPr>
        <w:spacing w:after="0" w:line="240" w:lineRule="auto"/>
        <w:rPr>
          <w:sz w:val="24"/>
          <w:szCs w:val="24"/>
        </w:rPr>
      </w:pPr>
    </w:p>
    <w:p w14:paraId="45FA78B0" w14:textId="5188507B" w:rsidR="001F792A" w:rsidRPr="008B62F6" w:rsidRDefault="001F792A" w:rsidP="008B62F6">
      <w:pPr>
        <w:spacing w:after="0" w:line="240" w:lineRule="auto"/>
        <w:rPr>
          <w:sz w:val="24"/>
          <w:szCs w:val="24"/>
        </w:rPr>
      </w:pPr>
      <w:r w:rsidRPr="008B62F6">
        <w:rPr>
          <w:sz w:val="24"/>
          <w:szCs w:val="24"/>
        </w:rPr>
        <w:t xml:space="preserve">Consistent with college guidelines, each department within the college performs peer evaluations of teaching using the teaching evaluation criteria established by the college (which reflect </w:t>
      </w:r>
      <w:r w:rsidR="004133B5">
        <w:rPr>
          <w:sz w:val="24"/>
          <w:szCs w:val="24"/>
        </w:rPr>
        <w:t>OHIO</w:t>
      </w:r>
      <w:r w:rsidR="00543774">
        <w:rPr>
          <w:sz w:val="24"/>
          <w:szCs w:val="24"/>
        </w:rPr>
        <w:t>'</w:t>
      </w:r>
      <w:r w:rsidR="004133B5">
        <w:rPr>
          <w:sz w:val="24"/>
          <w:szCs w:val="24"/>
        </w:rPr>
        <w:t>s</w:t>
      </w:r>
      <w:r w:rsidRPr="008B62F6">
        <w:rPr>
          <w:sz w:val="24"/>
          <w:szCs w:val="24"/>
        </w:rPr>
        <w:t xml:space="preserve"> Teaching Excellence Criteria). </w:t>
      </w:r>
    </w:p>
    <w:p w14:paraId="1BAAB561" w14:textId="77777777" w:rsidR="001F792A" w:rsidRDefault="001F792A" w:rsidP="001F792A">
      <w:pPr>
        <w:spacing w:after="0" w:line="240" w:lineRule="auto"/>
        <w:rPr>
          <w:sz w:val="24"/>
          <w:szCs w:val="24"/>
        </w:rPr>
      </w:pPr>
    </w:p>
    <w:p w14:paraId="477AA776" w14:textId="77777777" w:rsidR="008B62F6" w:rsidRPr="008B62F6" w:rsidRDefault="008B62F6" w:rsidP="008B62F6">
      <w:pPr>
        <w:spacing w:after="0" w:line="240" w:lineRule="auto"/>
        <w:rPr>
          <w:sz w:val="24"/>
          <w:szCs w:val="24"/>
          <w:u w:val="single"/>
        </w:rPr>
      </w:pPr>
      <w:r w:rsidRPr="008B62F6">
        <w:rPr>
          <w:sz w:val="24"/>
          <w:szCs w:val="24"/>
          <w:u w:val="single"/>
        </w:rPr>
        <w:t>Sample Faculty Member</w:t>
      </w:r>
    </w:p>
    <w:p w14:paraId="31DDF169" w14:textId="70B524D1" w:rsidR="001F792A" w:rsidRPr="008B62F6" w:rsidRDefault="001F792A" w:rsidP="008B62F6">
      <w:pPr>
        <w:spacing w:after="0" w:line="240" w:lineRule="auto"/>
        <w:rPr>
          <w:sz w:val="24"/>
          <w:szCs w:val="24"/>
        </w:rPr>
      </w:pPr>
      <w:r w:rsidRPr="008B62F6">
        <w:rPr>
          <w:sz w:val="24"/>
          <w:szCs w:val="24"/>
        </w:rPr>
        <w:t>The faculty member</w:t>
      </w:r>
      <w:r w:rsidR="00543774">
        <w:rPr>
          <w:sz w:val="24"/>
          <w:szCs w:val="24"/>
        </w:rPr>
        <w:t>'</w:t>
      </w:r>
      <w:r w:rsidRPr="008B62F6">
        <w:rPr>
          <w:sz w:val="24"/>
          <w:szCs w:val="24"/>
        </w:rPr>
        <w:t xml:space="preserve">s teaching responsibilities include a combination of in-person and online courses. </w:t>
      </w:r>
    </w:p>
    <w:p w14:paraId="2860B6EE" w14:textId="77777777" w:rsidR="001F792A" w:rsidRPr="008B62F6" w:rsidRDefault="001F792A" w:rsidP="008B62F6">
      <w:pPr>
        <w:spacing w:after="0" w:line="240" w:lineRule="auto"/>
        <w:rPr>
          <w:sz w:val="24"/>
          <w:szCs w:val="24"/>
        </w:rPr>
      </w:pPr>
    </w:p>
    <w:p w14:paraId="2A831A72" w14:textId="77777777" w:rsidR="001F792A" w:rsidRPr="008B62F6" w:rsidRDefault="001F792A" w:rsidP="008B62F6">
      <w:pPr>
        <w:spacing w:before="120" w:after="120" w:line="240" w:lineRule="auto"/>
        <w:rPr>
          <w:sz w:val="24"/>
          <w:szCs w:val="24"/>
        </w:rPr>
      </w:pPr>
      <w:r w:rsidRPr="008B62F6">
        <w:rPr>
          <w:b/>
          <w:bCs/>
          <w:sz w:val="24"/>
          <w:szCs w:val="24"/>
        </w:rPr>
        <w:t>Steps in the Process</w:t>
      </w:r>
      <w:r w:rsidRPr="008B62F6">
        <w:rPr>
          <w:sz w:val="24"/>
          <w:szCs w:val="24"/>
        </w:rPr>
        <w:t> </w:t>
      </w:r>
    </w:p>
    <w:p w14:paraId="029A3DF7" w14:textId="5548897F" w:rsidR="001F792A" w:rsidRPr="008B62F6" w:rsidRDefault="001F792A" w:rsidP="008A17F1">
      <w:pPr>
        <w:numPr>
          <w:ilvl w:val="0"/>
          <w:numId w:val="25"/>
        </w:numPr>
        <w:tabs>
          <w:tab w:val="clear" w:pos="720"/>
          <w:tab w:val="num" w:pos="360"/>
        </w:tabs>
        <w:spacing w:before="120" w:after="120" w:line="240" w:lineRule="auto"/>
        <w:ind w:left="360"/>
        <w:rPr>
          <w:sz w:val="24"/>
          <w:szCs w:val="24"/>
        </w:rPr>
      </w:pPr>
      <w:r w:rsidRPr="008B62F6">
        <w:rPr>
          <w:i/>
          <w:iCs/>
          <w:sz w:val="24"/>
          <w:szCs w:val="24"/>
        </w:rPr>
        <w:t>Evaluator Selection and Training</w:t>
      </w:r>
      <w:r w:rsidRPr="008B62F6">
        <w:rPr>
          <w:sz w:val="24"/>
          <w:szCs w:val="24"/>
        </w:rPr>
        <w:t xml:space="preserve">. The department chair forms a group of peer evaluators who will assess the performance of each individual within the department with teaching responsibilities. </w:t>
      </w:r>
      <w:r w:rsidR="00543774">
        <w:rPr>
          <w:sz w:val="24"/>
          <w:szCs w:val="24"/>
        </w:rPr>
        <w:t>"</w:t>
      </w:r>
      <w:r w:rsidRPr="008B62F6">
        <w:rPr>
          <w:sz w:val="24"/>
          <w:szCs w:val="24"/>
        </w:rPr>
        <w:t>New</w:t>
      </w:r>
      <w:r w:rsidR="00543774">
        <w:rPr>
          <w:sz w:val="24"/>
          <w:szCs w:val="24"/>
        </w:rPr>
        <w:t>"</w:t>
      </w:r>
      <w:r w:rsidRPr="008B62F6">
        <w:rPr>
          <w:sz w:val="24"/>
          <w:szCs w:val="24"/>
        </w:rPr>
        <w:t xml:space="preserve"> peer evaluators who have not conducted peer evaluations in prior years are encouraged to attend a CTLA orientation session.  </w:t>
      </w:r>
    </w:p>
    <w:p w14:paraId="7247E932" w14:textId="6EFA2BD0" w:rsidR="001F792A" w:rsidRPr="008B62F6" w:rsidRDefault="001F792A" w:rsidP="008A17F1">
      <w:pPr>
        <w:numPr>
          <w:ilvl w:val="0"/>
          <w:numId w:val="26"/>
        </w:numPr>
        <w:tabs>
          <w:tab w:val="clear" w:pos="720"/>
          <w:tab w:val="num" w:pos="360"/>
        </w:tabs>
        <w:spacing w:before="120" w:after="120" w:line="240" w:lineRule="auto"/>
        <w:ind w:left="360"/>
        <w:rPr>
          <w:sz w:val="24"/>
          <w:szCs w:val="24"/>
        </w:rPr>
      </w:pPr>
      <w:r w:rsidRPr="008B62F6">
        <w:rPr>
          <w:i/>
          <w:iCs/>
          <w:sz w:val="24"/>
          <w:szCs w:val="24"/>
        </w:rPr>
        <w:t>Faculty Input and Goal Setting</w:t>
      </w:r>
      <w:r w:rsidRPr="008B62F6">
        <w:rPr>
          <w:sz w:val="24"/>
          <w:szCs w:val="24"/>
        </w:rPr>
        <w:t>. The faculty member provides self-evaluation scores which include selected weights per the college</w:t>
      </w:r>
      <w:r w:rsidR="00543774">
        <w:rPr>
          <w:sz w:val="24"/>
          <w:szCs w:val="24"/>
        </w:rPr>
        <w:t>'</w:t>
      </w:r>
      <w:r w:rsidRPr="008B62F6">
        <w:rPr>
          <w:sz w:val="24"/>
          <w:szCs w:val="24"/>
        </w:rPr>
        <w:t xml:space="preserve">s annual evaluation guidelines. The faculty member has the option to meet with the peer evaluation committee to discuss any issues or concerns related to the scores they have assigned themselves and/or evidence they are providing for evaluation in advance of the peer evaluation. </w:t>
      </w:r>
    </w:p>
    <w:p w14:paraId="4BCA1369" w14:textId="2B2D88E7" w:rsidR="001F792A" w:rsidRPr="008B62F6" w:rsidRDefault="001F792A" w:rsidP="008A17F1">
      <w:pPr>
        <w:numPr>
          <w:ilvl w:val="0"/>
          <w:numId w:val="27"/>
        </w:numPr>
        <w:tabs>
          <w:tab w:val="clear" w:pos="720"/>
          <w:tab w:val="num" w:pos="360"/>
        </w:tabs>
        <w:spacing w:before="120" w:after="120" w:line="240" w:lineRule="auto"/>
        <w:ind w:left="360"/>
        <w:rPr>
          <w:sz w:val="24"/>
          <w:szCs w:val="24"/>
        </w:rPr>
      </w:pPr>
      <w:r w:rsidRPr="4A713DE4">
        <w:rPr>
          <w:i/>
          <w:iCs/>
          <w:sz w:val="24"/>
          <w:szCs w:val="24"/>
        </w:rPr>
        <w:t>Evidence Collection</w:t>
      </w:r>
      <w:r w:rsidRPr="4A713DE4">
        <w:rPr>
          <w:sz w:val="24"/>
          <w:szCs w:val="24"/>
        </w:rPr>
        <w:t>. The faculty member</w:t>
      </w:r>
      <w:r w:rsidR="326B253F" w:rsidRPr="4A713DE4">
        <w:rPr>
          <w:sz w:val="24"/>
          <w:szCs w:val="24"/>
        </w:rPr>
        <w:t xml:space="preserve"> </w:t>
      </w:r>
      <w:r w:rsidRPr="4A713DE4">
        <w:rPr>
          <w:sz w:val="24"/>
          <w:szCs w:val="24"/>
        </w:rPr>
        <w:t xml:space="preserve">submits their annual self-evaluation form and evidence of teaching (and sustained engagement and service) activities. Evidence provided to support the self-evaluation scores include a teaching dossier, Student Evaluation of Teaching summary scores and excerpts of comments, one example syllabus from an in-person course and one example syllabus from an online course, certificates or other evidence of completion of pedagogical training sessions or programs, and teaching awards (note: the evidence referred to in this example is for illustration purposes only; faculty should refer to the Ohio </w:t>
      </w:r>
      <w:r w:rsidRPr="4A713DE4">
        <w:rPr>
          <w:sz w:val="24"/>
          <w:szCs w:val="24"/>
        </w:rPr>
        <w:lastRenderedPageBreak/>
        <w:t xml:space="preserve">University Peer Evaluation of Teaching Guidelines for guidance relating to evidence of teaching effectiveness). </w:t>
      </w:r>
    </w:p>
    <w:p w14:paraId="22577172" w14:textId="77777777" w:rsidR="001F792A" w:rsidRPr="008B62F6" w:rsidRDefault="001F792A" w:rsidP="008A17F1">
      <w:pPr>
        <w:numPr>
          <w:ilvl w:val="0"/>
          <w:numId w:val="28"/>
        </w:numPr>
        <w:tabs>
          <w:tab w:val="clear" w:pos="720"/>
          <w:tab w:val="num" w:pos="360"/>
        </w:tabs>
        <w:spacing w:before="120" w:after="120" w:line="240" w:lineRule="auto"/>
        <w:ind w:left="360"/>
        <w:rPr>
          <w:sz w:val="24"/>
          <w:szCs w:val="24"/>
        </w:rPr>
      </w:pPr>
      <w:r w:rsidRPr="008B62F6">
        <w:rPr>
          <w:i/>
          <w:iCs/>
          <w:sz w:val="24"/>
          <w:szCs w:val="24"/>
        </w:rPr>
        <w:t>Evaluation</w:t>
      </w:r>
      <w:r w:rsidRPr="008B62F6">
        <w:rPr>
          <w:sz w:val="24"/>
          <w:szCs w:val="24"/>
        </w:rPr>
        <w:t>. The peer evaluation committee evaluates the self-assessment and evidence provided for consistency and assigns a rating for teaching (and sustained engagement and service) in line with the standards established by the college.  </w:t>
      </w:r>
    </w:p>
    <w:p w14:paraId="39740792" w14:textId="6F1C3178" w:rsidR="001F792A" w:rsidRPr="008B62F6" w:rsidRDefault="001F792A" w:rsidP="008A17F1">
      <w:pPr>
        <w:numPr>
          <w:ilvl w:val="0"/>
          <w:numId w:val="29"/>
        </w:numPr>
        <w:tabs>
          <w:tab w:val="clear" w:pos="720"/>
          <w:tab w:val="num" w:pos="360"/>
        </w:tabs>
        <w:spacing w:before="120" w:after="120" w:line="240" w:lineRule="auto"/>
        <w:ind w:left="360"/>
        <w:rPr>
          <w:sz w:val="24"/>
          <w:szCs w:val="24"/>
        </w:rPr>
      </w:pPr>
      <w:r w:rsidRPr="008B62F6">
        <w:rPr>
          <w:i/>
          <w:iCs/>
          <w:sz w:val="24"/>
          <w:szCs w:val="24"/>
        </w:rPr>
        <w:t>Written Report</w:t>
      </w:r>
      <w:r w:rsidRPr="008B62F6">
        <w:rPr>
          <w:sz w:val="24"/>
          <w:szCs w:val="24"/>
        </w:rPr>
        <w:t xml:space="preserve">. The peer evaluation committee prepares a written report which documents the evidence reviewed and the evaluation of the evidence (i.e., how the evidence presented justifies the peer rating assigned for teaching [and sustained engagement and service]). If the rating assigned for teaching (or another evaluation category) differs from the self-assessment, a brief explanation </w:t>
      </w:r>
      <w:r w:rsidR="008C3BFC">
        <w:rPr>
          <w:sz w:val="24"/>
          <w:szCs w:val="24"/>
        </w:rPr>
        <w:t>is</w:t>
      </w:r>
      <w:r w:rsidRPr="008B62F6">
        <w:rPr>
          <w:sz w:val="24"/>
          <w:szCs w:val="24"/>
        </w:rPr>
        <w:t xml:space="preserve"> provided. The peer evaluator sends the report to the department chair. The department chair provides a copy of the report to the faculty </w:t>
      </w:r>
      <w:proofErr w:type="gramStart"/>
      <w:r w:rsidRPr="008B62F6">
        <w:rPr>
          <w:sz w:val="24"/>
          <w:szCs w:val="24"/>
        </w:rPr>
        <w:t>member</w:t>
      </w:r>
      <w:proofErr w:type="gramEnd"/>
      <w:r w:rsidRPr="008B62F6">
        <w:rPr>
          <w:sz w:val="24"/>
          <w:szCs w:val="24"/>
        </w:rPr>
        <w:t xml:space="preserve"> no later than the chair</w:t>
      </w:r>
      <w:r w:rsidR="00543774">
        <w:rPr>
          <w:sz w:val="24"/>
          <w:szCs w:val="24"/>
        </w:rPr>
        <w:t>'</w:t>
      </w:r>
      <w:r w:rsidRPr="008B62F6">
        <w:rPr>
          <w:sz w:val="24"/>
          <w:szCs w:val="24"/>
        </w:rPr>
        <w:t xml:space="preserve">s annual performance review meeting. </w:t>
      </w:r>
    </w:p>
    <w:p w14:paraId="0CA4D4F4" w14:textId="77777777" w:rsidR="001F792A" w:rsidRPr="008B62F6" w:rsidRDefault="001F792A" w:rsidP="008B62F6">
      <w:pPr>
        <w:spacing w:after="0" w:line="240" w:lineRule="auto"/>
        <w:rPr>
          <w:sz w:val="24"/>
          <w:szCs w:val="24"/>
        </w:rPr>
      </w:pPr>
    </w:p>
    <w:p w14:paraId="1DC92D9C" w14:textId="7DBD1BC4" w:rsidR="001F792A" w:rsidRDefault="001F792A" w:rsidP="001F792A">
      <w:pPr>
        <w:spacing w:after="0" w:line="240" w:lineRule="auto"/>
        <w:rPr>
          <w:sz w:val="24"/>
          <w:szCs w:val="24"/>
        </w:rPr>
      </w:pPr>
      <w:r w:rsidRPr="008B62F6">
        <w:rPr>
          <w:b/>
          <w:bCs/>
          <w:sz w:val="24"/>
          <w:szCs w:val="24"/>
        </w:rPr>
        <w:t>Documentation / Record Keeping</w:t>
      </w:r>
      <w:r w:rsidRPr="008B62F6">
        <w:rPr>
          <w:sz w:val="24"/>
          <w:szCs w:val="24"/>
        </w:rPr>
        <w:t> </w:t>
      </w:r>
    </w:p>
    <w:p w14:paraId="5A4E46E6" w14:textId="77777777" w:rsidR="001F792A" w:rsidRPr="008B62F6" w:rsidRDefault="001F792A" w:rsidP="008B62F6">
      <w:pPr>
        <w:spacing w:after="0" w:line="240" w:lineRule="auto"/>
        <w:rPr>
          <w:sz w:val="24"/>
          <w:szCs w:val="24"/>
        </w:rPr>
      </w:pPr>
    </w:p>
    <w:p w14:paraId="49E77AB6" w14:textId="2BED6A48" w:rsidR="001F792A" w:rsidRDefault="001F792A" w:rsidP="001F792A">
      <w:pPr>
        <w:spacing w:after="0" w:line="240" w:lineRule="auto"/>
        <w:rPr>
          <w:sz w:val="24"/>
          <w:szCs w:val="24"/>
        </w:rPr>
      </w:pPr>
      <w:r w:rsidRPr="008B62F6">
        <w:rPr>
          <w:sz w:val="24"/>
          <w:szCs w:val="24"/>
        </w:rPr>
        <w:t xml:space="preserve">Per college policy, the department chair retains a record of </w:t>
      </w:r>
      <w:r w:rsidR="008C3BFC">
        <w:rPr>
          <w:sz w:val="24"/>
          <w:szCs w:val="24"/>
        </w:rPr>
        <w:t xml:space="preserve">the </w:t>
      </w:r>
      <w:r w:rsidRPr="008B62F6">
        <w:rPr>
          <w:sz w:val="24"/>
          <w:szCs w:val="24"/>
        </w:rPr>
        <w:t xml:space="preserve">written report and the date the evaluation was completed or received from the peer evaluation committee. </w:t>
      </w:r>
    </w:p>
    <w:p w14:paraId="03825E66" w14:textId="63C76068" w:rsidR="004133B5" w:rsidRDefault="004133B5">
      <w:pPr>
        <w:rPr>
          <w:sz w:val="24"/>
          <w:szCs w:val="24"/>
        </w:rPr>
      </w:pPr>
      <w:r>
        <w:rPr>
          <w:sz w:val="24"/>
          <w:szCs w:val="24"/>
        </w:rPr>
        <w:br w:type="page"/>
      </w:r>
    </w:p>
    <w:p w14:paraId="72CA74EF" w14:textId="77777777" w:rsidR="004133B5" w:rsidRDefault="004133B5" w:rsidP="001F792A">
      <w:pPr>
        <w:spacing w:after="0" w:line="240" w:lineRule="auto"/>
        <w:rPr>
          <w:sz w:val="24"/>
          <w:szCs w:val="24"/>
        </w:rPr>
      </w:pPr>
    </w:p>
    <w:p w14:paraId="69D0E27B" w14:textId="3020CF6B" w:rsidR="0083257A" w:rsidRPr="00820235" w:rsidRDefault="023FD2D1" w:rsidP="0083257A">
      <w:pPr>
        <w:pStyle w:val="IntenseQuote"/>
      </w:pPr>
      <w:r>
        <w:t xml:space="preserve"> Example 3: </w:t>
      </w:r>
    </w:p>
    <w:p w14:paraId="0D8D7014" w14:textId="77777777" w:rsidR="0083257A" w:rsidRPr="00820235" w:rsidRDefault="0083257A" w:rsidP="0083257A">
      <w:pPr>
        <w:pStyle w:val="IntenseQuote"/>
      </w:pPr>
      <w:r w:rsidRPr="00820235">
        <w:t>College Peer Evaluation Committee</w:t>
      </w:r>
      <w:r>
        <w:t xml:space="preserve"> with External Input</w:t>
      </w:r>
    </w:p>
    <w:p w14:paraId="06116CEF" w14:textId="77777777" w:rsidR="0083257A" w:rsidRDefault="0083257A" w:rsidP="0083257A">
      <w:pPr>
        <w:spacing w:after="0" w:line="240" w:lineRule="auto"/>
        <w:rPr>
          <w:b/>
          <w:bCs/>
          <w:sz w:val="24"/>
          <w:szCs w:val="24"/>
        </w:rPr>
      </w:pPr>
    </w:p>
    <w:p w14:paraId="658CD31B" w14:textId="77777777" w:rsidR="0083257A" w:rsidRPr="008B62F6" w:rsidRDefault="0083257A" w:rsidP="0083257A">
      <w:pPr>
        <w:spacing w:after="0" w:line="240" w:lineRule="auto"/>
        <w:rPr>
          <w:b/>
          <w:bCs/>
          <w:sz w:val="24"/>
          <w:szCs w:val="24"/>
        </w:rPr>
      </w:pPr>
      <w:r w:rsidRPr="008B62F6">
        <w:rPr>
          <w:b/>
          <w:bCs/>
          <w:sz w:val="24"/>
          <w:szCs w:val="24"/>
        </w:rPr>
        <w:t>Hypothetical Scenario</w:t>
      </w:r>
    </w:p>
    <w:p w14:paraId="668B9B2F" w14:textId="77777777" w:rsidR="0083257A" w:rsidRPr="008B62F6" w:rsidRDefault="0083257A" w:rsidP="0083257A">
      <w:pPr>
        <w:spacing w:after="0" w:line="240" w:lineRule="auto"/>
        <w:rPr>
          <w:sz w:val="24"/>
          <w:szCs w:val="24"/>
        </w:rPr>
      </w:pPr>
    </w:p>
    <w:p w14:paraId="14CD34E4" w14:textId="77777777" w:rsidR="0083257A" w:rsidRPr="008B62F6" w:rsidRDefault="0083257A" w:rsidP="0083257A">
      <w:pPr>
        <w:spacing w:after="0" w:line="240" w:lineRule="auto"/>
        <w:rPr>
          <w:sz w:val="24"/>
          <w:szCs w:val="24"/>
          <w:u w:val="single"/>
        </w:rPr>
      </w:pPr>
      <w:r w:rsidRPr="008B62F6">
        <w:rPr>
          <w:sz w:val="24"/>
          <w:szCs w:val="24"/>
          <w:u w:val="single"/>
        </w:rPr>
        <w:t xml:space="preserve">College Requirements and </w:t>
      </w:r>
      <w:r>
        <w:rPr>
          <w:sz w:val="24"/>
          <w:szCs w:val="24"/>
          <w:u w:val="single"/>
        </w:rPr>
        <w:t>Committee</w:t>
      </w:r>
    </w:p>
    <w:p w14:paraId="1F72C800" w14:textId="283DCB9E" w:rsidR="0083257A" w:rsidRPr="008B62F6" w:rsidRDefault="0083257A" w:rsidP="0083257A">
      <w:pPr>
        <w:spacing w:after="0" w:line="240" w:lineRule="auto"/>
        <w:rPr>
          <w:sz w:val="24"/>
          <w:szCs w:val="24"/>
        </w:rPr>
      </w:pPr>
      <w:r w:rsidRPr="008B62F6">
        <w:rPr>
          <w:sz w:val="24"/>
          <w:szCs w:val="24"/>
        </w:rPr>
        <w:t>The college has established a group of faculty members who have agreed to serve as peer evaluators for peer evaluations of teaching as part of their service workload. At the beginning of each academic year, members of this group have a two-hour orientation meeting with staff from the CTLA. The orientation meeting provides information about the process, evaluation tools, teaching excellence criteria, and suggestions for bias mitigation. One of the college</w:t>
      </w:r>
      <w:r w:rsidR="00543774">
        <w:rPr>
          <w:sz w:val="24"/>
          <w:szCs w:val="24"/>
        </w:rPr>
        <w:t>'</w:t>
      </w:r>
      <w:r w:rsidRPr="008B62F6">
        <w:rPr>
          <w:sz w:val="24"/>
          <w:szCs w:val="24"/>
        </w:rPr>
        <w:t>s Associate Dean</w:t>
      </w:r>
      <w:r w:rsidR="008C3BFC">
        <w:rPr>
          <w:sz w:val="24"/>
          <w:szCs w:val="24"/>
        </w:rPr>
        <w:t>s</w:t>
      </w:r>
      <w:r w:rsidRPr="008B62F6">
        <w:rPr>
          <w:sz w:val="24"/>
          <w:szCs w:val="24"/>
        </w:rPr>
        <w:t xml:space="preserve"> serves as the leader of the group.</w:t>
      </w:r>
    </w:p>
    <w:p w14:paraId="116F722F" w14:textId="77777777" w:rsidR="0083257A" w:rsidRPr="008B62F6" w:rsidRDefault="0083257A" w:rsidP="0083257A">
      <w:pPr>
        <w:spacing w:after="0" w:line="240" w:lineRule="auto"/>
        <w:rPr>
          <w:sz w:val="24"/>
          <w:szCs w:val="24"/>
        </w:rPr>
      </w:pPr>
    </w:p>
    <w:p w14:paraId="7B7C21CE" w14:textId="77777777" w:rsidR="0083257A" w:rsidRPr="008B62F6" w:rsidRDefault="0083257A" w:rsidP="0083257A">
      <w:pPr>
        <w:spacing w:after="0" w:line="240" w:lineRule="auto"/>
        <w:rPr>
          <w:sz w:val="24"/>
          <w:szCs w:val="24"/>
          <w:u w:val="single"/>
        </w:rPr>
      </w:pPr>
      <w:r w:rsidRPr="008B62F6">
        <w:rPr>
          <w:sz w:val="24"/>
          <w:szCs w:val="24"/>
          <w:u w:val="single"/>
        </w:rPr>
        <w:t>Department Requirements</w:t>
      </w:r>
    </w:p>
    <w:p w14:paraId="6429C688" w14:textId="0DE299B1" w:rsidR="0083257A" w:rsidRPr="008B62F6" w:rsidRDefault="0083257A" w:rsidP="0083257A">
      <w:pPr>
        <w:spacing w:after="0" w:line="240" w:lineRule="auto"/>
        <w:rPr>
          <w:sz w:val="24"/>
          <w:szCs w:val="24"/>
        </w:rPr>
      </w:pPr>
      <w:r w:rsidRPr="008B62F6">
        <w:rPr>
          <w:sz w:val="24"/>
          <w:szCs w:val="24"/>
        </w:rPr>
        <w:t>Consistent with college guidelines, the department has adopted a system of peer evaluations of teaching that requires an evaluation of faculty every two years. The department</w:t>
      </w:r>
      <w:r w:rsidR="00543774">
        <w:rPr>
          <w:sz w:val="24"/>
          <w:szCs w:val="24"/>
        </w:rPr>
        <w:t>'</w:t>
      </w:r>
      <w:r w:rsidRPr="008B62F6">
        <w:rPr>
          <w:sz w:val="24"/>
          <w:szCs w:val="24"/>
        </w:rPr>
        <w:t>s guidelines state faculty evaluations should:</w:t>
      </w:r>
    </w:p>
    <w:p w14:paraId="31B2426C" w14:textId="24915087" w:rsidR="0083257A" w:rsidRPr="008B62F6" w:rsidRDefault="0083257A" w:rsidP="008A17F1">
      <w:pPr>
        <w:pStyle w:val="ListParagraph"/>
        <w:numPr>
          <w:ilvl w:val="0"/>
          <w:numId w:val="24"/>
        </w:numPr>
        <w:spacing w:after="0" w:line="240" w:lineRule="auto"/>
        <w:rPr>
          <w:sz w:val="24"/>
          <w:szCs w:val="24"/>
        </w:rPr>
      </w:pPr>
      <w:r w:rsidRPr="008B62F6">
        <w:rPr>
          <w:sz w:val="24"/>
          <w:szCs w:val="24"/>
        </w:rPr>
        <w:t>Include evidence from a single course that represents the faculty member</w:t>
      </w:r>
      <w:r w:rsidR="00543774">
        <w:rPr>
          <w:sz w:val="24"/>
          <w:szCs w:val="24"/>
        </w:rPr>
        <w:t>'</w:t>
      </w:r>
      <w:r w:rsidRPr="008B62F6">
        <w:rPr>
          <w:sz w:val="24"/>
          <w:szCs w:val="24"/>
        </w:rPr>
        <w:t>s primary teaching responsibility.</w:t>
      </w:r>
    </w:p>
    <w:p w14:paraId="1EAAFC1C" w14:textId="77777777" w:rsidR="0083257A" w:rsidRPr="008B62F6" w:rsidRDefault="0083257A" w:rsidP="008A17F1">
      <w:pPr>
        <w:pStyle w:val="ListParagraph"/>
        <w:numPr>
          <w:ilvl w:val="0"/>
          <w:numId w:val="24"/>
        </w:numPr>
        <w:spacing w:after="0" w:line="240" w:lineRule="auto"/>
        <w:rPr>
          <w:sz w:val="24"/>
          <w:szCs w:val="24"/>
        </w:rPr>
      </w:pPr>
      <w:r w:rsidRPr="008B62F6">
        <w:rPr>
          <w:sz w:val="24"/>
          <w:szCs w:val="24"/>
        </w:rPr>
        <w:t>Include evidence from at least two different sources.</w:t>
      </w:r>
    </w:p>
    <w:p w14:paraId="20966D9B" w14:textId="77777777" w:rsidR="0083257A" w:rsidRPr="008B62F6" w:rsidRDefault="0083257A" w:rsidP="008A17F1">
      <w:pPr>
        <w:pStyle w:val="ListParagraph"/>
        <w:numPr>
          <w:ilvl w:val="0"/>
          <w:numId w:val="24"/>
        </w:numPr>
        <w:spacing w:after="0" w:line="240" w:lineRule="auto"/>
        <w:rPr>
          <w:sz w:val="24"/>
          <w:szCs w:val="24"/>
        </w:rPr>
      </w:pPr>
      <w:r w:rsidRPr="008B62F6">
        <w:rPr>
          <w:sz w:val="24"/>
          <w:szCs w:val="24"/>
        </w:rPr>
        <w:t>Focus on at least one teaching excellence criterion, which is selected by agreement between the department chair and faculty member.</w:t>
      </w:r>
    </w:p>
    <w:p w14:paraId="45F785F6" w14:textId="77777777" w:rsidR="0083257A" w:rsidRPr="008B62F6" w:rsidRDefault="0083257A" w:rsidP="0083257A">
      <w:pPr>
        <w:spacing w:after="0" w:line="240" w:lineRule="auto"/>
        <w:rPr>
          <w:sz w:val="24"/>
          <w:szCs w:val="24"/>
        </w:rPr>
      </w:pPr>
    </w:p>
    <w:p w14:paraId="43DB001D" w14:textId="77777777" w:rsidR="0083257A" w:rsidRPr="008B62F6" w:rsidRDefault="0083257A" w:rsidP="0083257A">
      <w:pPr>
        <w:spacing w:after="0" w:line="240" w:lineRule="auto"/>
        <w:rPr>
          <w:sz w:val="24"/>
          <w:szCs w:val="24"/>
          <w:u w:val="single"/>
        </w:rPr>
      </w:pPr>
      <w:r w:rsidRPr="008B62F6">
        <w:rPr>
          <w:sz w:val="24"/>
          <w:szCs w:val="24"/>
          <w:u w:val="single"/>
        </w:rPr>
        <w:t>Sample Faculty Member</w:t>
      </w:r>
    </w:p>
    <w:p w14:paraId="43A038E5" w14:textId="34F97B47" w:rsidR="0083257A" w:rsidRPr="008B62F6" w:rsidRDefault="0083257A" w:rsidP="0083257A">
      <w:pPr>
        <w:spacing w:after="0" w:line="240" w:lineRule="auto"/>
        <w:rPr>
          <w:sz w:val="24"/>
          <w:szCs w:val="24"/>
        </w:rPr>
      </w:pPr>
      <w:r w:rsidRPr="008B62F6">
        <w:rPr>
          <w:sz w:val="24"/>
          <w:szCs w:val="24"/>
        </w:rPr>
        <w:t>The faculty member scheduled for an upcoming evaluation primarily teaches online, undergraduate courses. The faculty member and department chair have decided that the evaluation should focus on two teaching excellence criteria: preparation and engagement. Per the faculty member</w:t>
      </w:r>
      <w:r w:rsidR="00543774">
        <w:rPr>
          <w:sz w:val="24"/>
          <w:szCs w:val="24"/>
        </w:rPr>
        <w:t>'</w:t>
      </w:r>
      <w:r w:rsidRPr="008B62F6">
        <w:rPr>
          <w:sz w:val="24"/>
          <w:szCs w:val="24"/>
        </w:rPr>
        <w:t>s request, the two sources of evidence will be a review of a previous online course and the faculty member</w:t>
      </w:r>
      <w:r w:rsidR="00543774">
        <w:rPr>
          <w:sz w:val="24"/>
          <w:szCs w:val="24"/>
        </w:rPr>
        <w:t>'</w:t>
      </w:r>
      <w:r w:rsidRPr="008B62F6">
        <w:rPr>
          <w:sz w:val="24"/>
          <w:szCs w:val="24"/>
        </w:rPr>
        <w:t>s self-assessment of their preparation and engagement activities for that course.</w:t>
      </w:r>
    </w:p>
    <w:p w14:paraId="74B3734B" w14:textId="77777777" w:rsidR="0083257A" w:rsidRPr="008B62F6" w:rsidRDefault="0083257A" w:rsidP="0083257A">
      <w:pPr>
        <w:spacing w:after="0" w:line="240" w:lineRule="auto"/>
        <w:rPr>
          <w:sz w:val="24"/>
          <w:szCs w:val="24"/>
        </w:rPr>
      </w:pPr>
    </w:p>
    <w:p w14:paraId="235AF6BD" w14:textId="77777777" w:rsidR="0083257A" w:rsidRPr="008B62F6" w:rsidRDefault="0083257A" w:rsidP="0083257A">
      <w:pPr>
        <w:spacing w:after="0" w:line="240" w:lineRule="auto"/>
        <w:rPr>
          <w:b/>
          <w:bCs/>
          <w:sz w:val="24"/>
          <w:szCs w:val="24"/>
        </w:rPr>
      </w:pPr>
      <w:r w:rsidRPr="008B62F6">
        <w:rPr>
          <w:b/>
          <w:bCs/>
          <w:sz w:val="24"/>
          <w:szCs w:val="24"/>
        </w:rPr>
        <w:t>Steps in the Process</w:t>
      </w:r>
    </w:p>
    <w:p w14:paraId="73B8791D" w14:textId="79DB2C51" w:rsidR="0083257A" w:rsidRPr="008B62F6" w:rsidRDefault="0083257A" w:rsidP="008A17F1">
      <w:pPr>
        <w:pStyle w:val="ListParagraph"/>
        <w:numPr>
          <w:ilvl w:val="0"/>
          <w:numId w:val="23"/>
        </w:numPr>
        <w:spacing w:before="120" w:after="120" w:line="240" w:lineRule="auto"/>
        <w:contextualSpacing w:val="0"/>
        <w:rPr>
          <w:sz w:val="24"/>
          <w:szCs w:val="24"/>
        </w:rPr>
      </w:pPr>
      <w:r w:rsidRPr="008B62F6">
        <w:rPr>
          <w:i/>
          <w:iCs/>
          <w:sz w:val="24"/>
          <w:szCs w:val="24"/>
        </w:rPr>
        <w:t>Evaluator Selection and Training</w:t>
      </w:r>
      <w:r w:rsidRPr="008B62F6">
        <w:rPr>
          <w:sz w:val="24"/>
          <w:szCs w:val="24"/>
        </w:rPr>
        <w:t>. From the college</w:t>
      </w:r>
      <w:r w:rsidR="00543774">
        <w:rPr>
          <w:sz w:val="24"/>
          <w:szCs w:val="24"/>
        </w:rPr>
        <w:t>'</w:t>
      </w:r>
      <w:r w:rsidRPr="008B62F6">
        <w:rPr>
          <w:sz w:val="24"/>
          <w:szCs w:val="24"/>
        </w:rPr>
        <w:t>s peer evaluator group, a faculty</w:t>
      </w:r>
      <w:r w:rsidR="00820919">
        <w:rPr>
          <w:sz w:val="24"/>
          <w:szCs w:val="24"/>
        </w:rPr>
        <w:t xml:space="preserve"> member</w:t>
      </w:r>
      <w:r w:rsidRPr="008B62F6">
        <w:rPr>
          <w:sz w:val="24"/>
          <w:szCs w:val="24"/>
        </w:rPr>
        <w:t xml:space="preserve"> with online teaching experience who has taught a similar course topic has volunteered to serve as the peer evaluator.</w:t>
      </w:r>
    </w:p>
    <w:p w14:paraId="070B402E" w14:textId="77777777" w:rsidR="0083257A" w:rsidRPr="008B62F6" w:rsidRDefault="0083257A" w:rsidP="008A17F1">
      <w:pPr>
        <w:pStyle w:val="ListParagraph"/>
        <w:numPr>
          <w:ilvl w:val="0"/>
          <w:numId w:val="23"/>
        </w:numPr>
        <w:spacing w:before="120" w:after="120" w:line="240" w:lineRule="auto"/>
        <w:contextualSpacing w:val="0"/>
        <w:rPr>
          <w:sz w:val="24"/>
          <w:szCs w:val="24"/>
        </w:rPr>
      </w:pPr>
      <w:r w:rsidRPr="008B62F6">
        <w:rPr>
          <w:i/>
          <w:iCs/>
          <w:sz w:val="24"/>
          <w:szCs w:val="24"/>
        </w:rPr>
        <w:t>Faculty Input and Goal Setting</w:t>
      </w:r>
      <w:r w:rsidRPr="008B62F6">
        <w:rPr>
          <w:sz w:val="24"/>
          <w:szCs w:val="24"/>
        </w:rPr>
        <w:t>. The faculty member has an initial meeting with the peer evaluator. They agree on the focus of the evaluation (preparation and engagement), a course from the previous semester for data collection, and the deadline for the faculty member to send the peer evaluator their self-assessment materials. They also decide not to meet again unless the evaluator has questions or identifies major concerns.</w:t>
      </w:r>
    </w:p>
    <w:p w14:paraId="55A9D4E4" w14:textId="61808417" w:rsidR="0083257A" w:rsidRPr="008B62F6" w:rsidRDefault="0083257A" w:rsidP="008A17F1">
      <w:pPr>
        <w:pStyle w:val="ListParagraph"/>
        <w:numPr>
          <w:ilvl w:val="0"/>
          <w:numId w:val="23"/>
        </w:numPr>
        <w:spacing w:before="120" w:after="120" w:line="240" w:lineRule="auto"/>
        <w:contextualSpacing w:val="0"/>
        <w:rPr>
          <w:sz w:val="24"/>
          <w:szCs w:val="24"/>
        </w:rPr>
      </w:pPr>
      <w:r w:rsidRPr="008B62F6">
        <w:rPr>
          <w:i/>
          <w:iCs/>
          <w:sz w:val="24"/>
          <w:szCs w:val="24"/>
        </w:rPr>
        <w:t>Evidence Collection</w:t>
      </w:r>
      <w:r w:rsidRPr="008B62F6">
        <w:rPr>
          <w:sz w:val="24"/>
          <w:szCs w:val="24"/>
        </w:rPr>
        <w:t xml:space="preserve">. The faculty member submits a request to the Office of Instructional Design (OID) to review their course using the </w:t>
      </w:r>
      <w:r w:rsidR="00820919" w:rsidRPr="008B62F6">
        <w:rPr>
          <w:sz w:val="24"/>
          <w:szCs w:val="24"/>
        </w:rPr>
        <w:t>OSC</w:t>
      </w:r>
      <w:r w:rsidR="00820919">
        <w:rPr>
          <w:sz w:val="24"/>
          <w:szCs w:val="24"/>
        </w:rPr>
        <w:t>Q</w:t>
      </w:r>
      <w:r w:rsidR="00820919" w:rsidRPr="008B62F6">
        <w:rPr>
          <w:sz w:val="24"/>
          <w:szCs w:val="24"/>
        </w:rPr>
        <w:t xml:space="preserve">R </w:t>
      </w:r>
      <w:r w:rsidRPr="008B62F6">
        <w:rPr>
          <w:sz w:val="24"/>
          <w:szCs w:val="24"/>
        </w:rPr>
        <w:t xml:space="preserve">rubric. The faculty member shares </w:t>
      </w:r>
      <w:r w:rsidRPr="008B62F6">
        <w:rPr>
          <w:sz w:val="24"/>
          <w:szCs w:val="24"/>
        </w:rPr>
        <w:lastRenderedPageBreak/>
        <w:t>that the focus of the evaluation is preparation and engagement. The faculty member adds the OID staff person and the peer evaluator to the online course in Canvas.</w:t>
      </w:r>
    </w:p>
    <w:p w14:paraId="6F5900CC" w14:textId="7DA00587" w:rsidR="0083257A" w:rsidRPr="008B62F6" w:rsidRDefault="0083257A" w:rsidP="008A17F1">
      <w:pPr>
        <w:pStyle w:val="ListParagraph"/>
        <w:numPr>
          <w:ilvl w:val="0"/>
          <w:numId w:val="23"/>
        </w:numPr>
        <w:spacing w:before="120" w:after="120" w:line="240" w:lineRule="auto"/>
        <w:contextualSpacing w:val="0"/>
        <w:rPr>
          <w:sz w:val="24"/>
          <w:szCs w:val="24"/>
        </w:rPr>
      </w:pPr>
      <w:r w:rsidRPr="008B62F6">
        <w:rPr>
          <w:i/>
          <w:iCs/>
          <w:sz w:val="24"/>
          <w:szCs w:val="24"/>
        </w:rPr>
        <w:t>Evaluation</w:t>
      </w:r>
      <w:r w:rsidRPr="008B62F6">
        <w:rPr>
          <w:sz w:val="24"/>
          <w:szCs w:val="24"/>
        </w:rPr>
        <w:t>. The instructional designer from OID completes their review and shares it with the faculty member. The faculty member sends their self-assessment materials and a copy of the OID review to the peer evaluator. The peer evaluator produces an evaluation (using a standard rubric) using the course materials on Canvas, the OID review, and the faculty member</w:t>
      </w:r>
      <w:r w:rsidR="00543774">
        <w:rPr>
          <w:sz w:val="24"/>
          <w:szCs w:val="24"/>
        </w:rPr>
        <w:t>'</w:t>
      </w:r>
      <w:r w:rsidRPr="008B62F6">
        <w:rPr>
          <w:sz w:val="24"/>
          <w:szCs w:val="24"/>
        </w:rPr>
        <w:t>s self-assessment documents.</w:t>
      </w:r>
    </w:p>
    <w:p w14:paraId="4480875F" w14:textId="77777777" w:rsidR="0083257A" w:rsidRPr="008B62F6" w:rsidRDefault="0083257A" w:rsidP="008A17F1">
      <w:pPr>
        <w:pStyle w:val="ListParagraph"/>
        <w:numPr>
          <w:ilvl w:val="0"/>
          <w:numId w:val="23"/>
        </w:numPr>
        <w:spacing w:line="240" w:lineRule="auto"/>
        <w:rPr>
          <w:sz w:val="24"/>
          <w:szCs w:val="24"/>
        </w:rPr>
      </w:pPr>
      <w:r w:rsidRPr="008B62F6">
        <w:rPr>
          <w:i/>
          <w:iCs/>
          <w:sz w:val="24"/>
          <w:szCs w:val="24"/>
        </w:rPr>
        <w:t>Written Report</w:t>
      </w:r>
      <w:r w:rsidRPr="008B62F6">
        <w:rPr>
          <w:sz w:val="24"/>
          <w:szCs w:val="24"/>
        </w:rPr>
        <w:t>. The peer evaluator prepares a written report that includes a description of the evidence evaluated, assessments of teaching excellence based on selected criteria, and constructive, respectful feedback focused on professional development in teaching, learning, and/or assessment. The peer evaluator sends the report to the department chair. The department chairs send the report to the faculty member.</w:t>
      </w:r>
    </w:p>
    <w:p w14:paraId="11D62BB2" w14:textId="77777777" w:rsidR="0083257A" w:rsidRPr="008B62F6" w:rsidRDefault="0083257A" w:rsidP="0083257A">
      <w:pPr>
        <w:spacing w:after="0" w:line="240" w:lineRule="auto"/>
        <w:rPr>
          <w:sz w:val="24"/>
          <w:szCs w:val="24"/>
        </w:rPr>
      </w:pPr>
    </w:p>
    <w:p w14:paraId="6056F985" w14:textId="77777777" w:rsidR="0083257A" w:rsidRPr="008B62F6" w:rsidRDefault="0083257A" w:rsidP="0083257A">
      <w:pPr>
        <w:spacing w:after="0" w:line="240" w:lineRule="auto"/>
        <w:rPr>
          <w:b/>
          <w:bCs/>
          <w:sz w:val="24"/>
          <w:szCs w:val="24"/>
        </w:rPr>
      </w:pPr>
      <w:r w:rsidRPr="008B62F6">
        <w:rPr>
          <w:b/>
          <w:bCs/>
          <w:sz w:val="24"/>
          <w:szCs w:val="24"/>
        </w:rPr>
        <w:t>Documentation / Record Keeping</w:t>
      </w:r>
    </w:p>
    <w:p w14:paraId="03AF4374" w14:textId="77777777" w:rsidR="0083257A" w:rsidRPr="008B62F6" w:rsidRDefault="0083257A" w:rsidP="0083257A">
      <w:pPr>
        <w:spacing w:after="0" w:line="240" w:lineRule="auto"/>
        <w:rPr>
          <w:sz w:val="24"/>
          <w:szCs w:val="24"/>
        </w:rPr>
      </w:pPr>
    </w:p>
    <w:p w14:paraId="75BB6E56" w14:textId="2C60558E" w:rsidR="0083257A" w:rsidRPr="008B62F6" w:rsidRDefault="0083257A" w:rsidP="0083257A">
      <w:pPr>
        <w:spacing w:after="0" w:line="240" w:lineRule="auto"/>
        <w:rPr>
          <w:sz w:val="24"/>
          <w:szCs w:val="24"/>
        </w:rPr>
      </w:pPr>
      <w:r w:rsidRPr="008B62F6">
        <w:rPr>
          <w:sz w:val="24"/>
          <w:szCs w:val="24"/>
        </w:rPr>
        <w:t xml:space="preserve">Per college policy, the department chair retains a record of </w:t>
      </w:r>
      <w:r w:rsidR="00820919">
        <w:rPr>
          <w:sz w:val="24"/>
          <w:szCs w:val="24"/>
        </w:rPr>
        <w:t xml:space="preserve">the </w:t>
      </w:r>
      <w:r w:rsidRPr="008B62F6">
        <w:rPr>
          <w:sz w:val="24"/>
          <w:szCs w:val="24"/>
        </w:rPr>
        <w:t>written report and the date the evaluation was completed.</w:t>
      </w:r>
    </w:p>
    <w:p w14:paraId="070EEC2E" w14:textId="3284D819" w:rsidR="00820235" w:rsidRDefault="00820235">
      <w:pPr>
        <w:rPr>
          <w:b/>
          <w:bCs/>
          <w:sz w:val="24"/>
          <w:szCs w:val="24"/>
        </w:rPr>
      </w:pPr>
    </w:p>
    <w:p w14:paraId="6CA0CA69" w14:textId="77777777" w:rsidR="0083257A" w:rsidRDefault="0083257A">
      <w:pPr>
        <w:rPr>
          <w:b/>
          <w:color w:val="000000" w:themeColor="text1"/>
          <w:sz w:val="32"/>
        </w:rPr>
      </w:pPr>
      <w:r>
        <w:br w:type="page"/>
      </w:r>
    </w:p>
    <w:p w14:paraId="3B68B430" w14:textId="12212C1E" w:rsidR="00820235" w:rsidRPr="00820235" w:rsidRDefault="361AA081" w:rsidP="008B62F6">
      <w:pPr>
        <w:pStyle w:val="IntenseQuote"/>
      </w:pPr>
      <w:r>
        <w:lastRenderedPageBreak/>
        <w:t>Example 4:</w:t>
      </w:r>
    </w:p>
    <w:p w14:paraId="7ED762CA" w14:textId="4301E987" w:rsidR="00820235" w:rsidRPr="00820235" w:rsidRDefault="00820235" w:rsidP="008B62F6">
      <w:pPr>
        <w:pStyle w:val="IntenseQuote"/>
      </w:pPr>
      <w:r w:rsidRPr="00820235">
        <w:t>A Large Department in Arts &amp; Sciences</w:t>
      </w:r>
    </w:p>
    <w:p w14:paraId="27F5ED26" w14:textId="77777777" w:rsidR="00820235" w:rsidRPr="008B62F6" w:rsidRDefault="00820235" w:rsidP="00820235">
      <w:pPr>
        <w:spacing w:after="0" w:line="240" w:lineRule="auto"/>
        <w:jc w:val="center"/>
        <w:rPr>
          <w:sz w:val="24"/>
          <w:szCs w:val="24"/>
        </w:rPr>
      </w:pPr>
    </w:p>
    <w:p w14:paraId="71016A4C" w14:textId="77777777" w:rsidR="008B62F6" w:rsidRPr="008B62F6" w:rsidRDefault="008B62F6" w:rsidP="008B62F6">
      <w:pPr>
        <w:spacing w:after="0" w:line="240" w:lineRule="auto"/>
        <w:rPr>
          <w:rFonts w:ascii="Times New Roman" w:eastAsia="Times New Roman" w:hAnsi="Times New Roman" w:cs="Times New Roman"/>
          <w:b/>
          <w:bCs/>
          <w:kern w:val="2"/>
          <w:sz w:val="24"/>
          <w:szCs w:val="24"/>
          <w14:ligatures w14:val="standardContextual"/>
        </w:rPr>
      </w:pPr>
      <w:r w:rsidRPr="008B62F6">
        <w:rPr>
          <w:rFonts w:ascii="Times New Roman" w:eastAsia="Times New Roman" w:hAnsi="Times New Roman" w:cs="Times New Roman"/>
          <w:b/>
          <w:bCs/>
          <w:kern w:val="2"/>
          <w:sz w:val="24"/>
          <w:szCs w:val="24"/>
          <w14:ligatures w14:val="standardContextual"/>
        </w:rPr>
        <w:t>Hypothetical Scenario</w:t>
      </w:r>
    </w:p>
    <w:p w14:paraId="5E57E1D7" w14:textId="77777777" w:rsidR="008B62F6" w:rsidRPr="008B62F6" w:rsidRDefault="008B62F6" w:rsidP="008B62F6">
      <w:pPr>
        <w:spacing w:after="0" w:line="240" w:lineRule="auto"/>
        <w:rPr>
          <w:rFonts w:ascii="Times New Roman" w:eastAsia="Times New Roman" w:hAnsi="Times New Roman" w:cs="Times New Roman"/>
          <w:kern w:val="2"/>
          <w:sz w:val="24"/>
          <w:szCs w:val="24"/>
          <w14:ligatures w14:val="standardContextual"/>
        </w:rPr>
      </w:pPr>
    </w:p>
    <w:p w14:paraId="6C7FD53C" w14:textId="77777777" w:rsidR="008B62F6" w:rsidRPr="008B62F6" w:rsidRDefault="008B62F6" w:rsidP="008B62F6">
      <w:pPr>
        <w:spacing w:after="0" w:line="240" w:lineRule="auto"/>
        <w:rPr>
          <w:rFonts w:ascii="Times New Roman" w:eastAsia="Times New Roman" w:hAnsi="Times New Roman" w:cs="Times New Roman"/>
          <w:kern w:val="2"/>
          <w:sz w:val="24"/>
          <w:szCs w:val="24"/>
          <w:u w:val="single"/>
          <w14:ligatures w14:val="standardContextual"/>
        </w:rPr>
      </w:pPr>
      <w:r w:rsidRPr="008B62F6">
        <w:rPr>
          <w:rFonts w:ascii="Times New Roman" w:eastAsia="Times New Roman" w:hAnsi="Times New Roman" w:cs="Times New Roman"/>
          <w:kern w:val="2"/>
          <w:sz w:val="24"/>
          <w:szCs w:val="24"/>
          <w:u w:val="single"/>
          <w14:ligatures w14:val="standardContextual"/>
        </w:rPr>
        <w:t>College Requirements and Process</w:t>
      </w:r>
    </w:p>
    <w:p w14:paraId="7F2460B8" w14:textId="5AE81925" w:rsidR="008B62F6" w:rsidRPr="008B62F6" w:rsidRDefault="008B62F6" w:rsidP="008B62F6">
      <w:pPr>
        <w:spacing w:after="0" w:line="240" w:lineRule="auto"/>
        <w:rPr>
          <w:rFonts w:ascii="Times New Roman" w:eastAsia="Times New Roman" w:hAnsi="Times New Roman" w:cs="Times New Roman"/>
          <w:kern w:val="2"/>
          <w:sz w:val="24"/>
          <w:szCs w:val="24"/>
          <w14:ligatures w14:val="standardContextual"/>
        </w:rPr>
      </w:pPr>
      <w:r w:rsidRPr="008B62F6">
        <w:rPr>
          <w:rFonts w:ascii="Times New Roman" w:eastAsia="Times New Roman" w:hAnsi="Times New Roman" w:cs="Times New Roman"/>
          <w:kern w:val="2"/>
          <w:sz w:val="24"/>
          <w:szCs w:val="24"/>
          <w14:ligatures w14:val="standardContextual"/>
        </w:rPr>
        <w:t>The college requires each department to create peer evaluation policies and processes that meet the minimum university requirements. As part of those policies and processes, each department must each year identify at least two faculty who will serve as peer evaluators in their department</w:t>
      </w:r>
      <w:r w:rsidR="00820919">
        <w:rPr>
          <w:rFonts w:ascii="Times New Roman" w:eastAsia="Times New Roman" w:hAnsi="Times New Roman" w:cs="Times New Roman"/>
          <w:kern w:val="2"/>
          <w:sz w:val="24"/>
          <w:szCs w:val="24"/>
          <w14:ligatures w14:val="standardContextual"/>
        </w:rPr>
        <w:t>;</w:t>
      </w:r>
      <w:r w:rsidRPr="008B62F6">
        <w:rPr>
          <w:rFonts w:ascii="Times New Roman" w:eastAsia="Times New Roman" w:hAnsi="Times New Roman" w:cs="Times New Roman"/>
          <w:kern w:val="2"/>
          <w:sz w:val="24"/>
          <w:szCs w:val="24"/>
          <w14:ligatures w14:val="standardContextual"/>
        </w:rPr>
        <w:t xml:space="preserve"> where necessary, the college will assist small departments in identifying peer reviewers in related fields who can assist them. </w:t>
      </w:r>
    </w:p>
    <w:p w14:paraId="319F71D9" w14:textId="77777777" w:rsidR="008B62F6" w:rsidRPr="008B62F6" w:rsidRDefault="008B62F6" w:rsidP="008B62F6">
      <w:pPr>
        <w:spacing w:after="0" w:line="240" w:lineRule="auto"/>
        <w:rPr>
          <w:rFonts w:ascii="Times New Roman" w:eastAsia="Times New Roman" w:hAnsi="Times New Roman" w:cs="Times New Roman"/>
          <w:kern w:val="2"/>
          <w:sz w:val="24"/>
          <w:szCs w:val="24"/>
          <w14:ligatures w14:val="standardContextual"/>
        </w:rPr>
      </w:pPr>
    </w:p>
    <w:p w14:paraId="4CDF672D" w14:textId="77777777" w:rsidR="008B62F6" w:rsidRPr="008B62F6" w:rsidRDefault="008B62F6" w:rsidP="008B62F6">
      <w:pPr>
        <w:spacing w:after="0" w:line="240" w:lineRule="auto"/>
        <w:rPr>
          <w:rFonts w:ascii="Times New Roman" w:eastAsia="Times New Roman" w:hAnsi="Times New Roman" w:cs="Times New Roman"/>
          <w:kern w:val="2"/>
          <w:sz w:val="24"/>
          <w:szCs w:val="24"/>
          <w14:ligatures w14:val="standardContextual"/>
        </w:rPr>
      </w:pPr>
      <w:r w:rsidRPr="008B62F6">
        <w:rPr>
          <w:rFonts w:ascii="Times New Roman" w:eastAsia="Times New Roman" w:hAnsi="Times New Roman" w:cs="Times New Roman"/>
          <w:kern w:val="2"/>
          <w:sz w:val="24"/>
          <w:szCs w:val="24"/>
          <w14:ligatures w14:val="standardContextual"/>
        </w:rPr>
        <w:t xml:space="preserve">At the beginning of each academic year, faculty members who will serve as peer evaluators will be offered a two-hour orientation meeting with staff from the CTLA. The orientation meeting provides information about the process, evaluation tools, teaching excellence criteria, and suggestions for bias mitigation. Training is strongly recommended for faculty who have not previously received it. </w:t>
      </w:r>
    </w:p>
    <w:p w14:paraId="3185FEEB" w14:textId="77777777" w:rsidR="008B62F6" w:rsidRPr="008B62F6" w:rsidRDefault="008B62F6" w:rsidP="008B62F6">
      <w:pPr>
        <w:spacing w:after="0" w:line="240" w:lineRule="auto"/>
        <w:rPr>
          <w:rFonts w:ascii="Times New Roman" w:eastAsia="Times New Roman" w:hAnsi="Times New Roman" w:cs="Times New Roman"/>
          <w:kern w:val="2"/>
          <w:sz w:val="24"/>
          <w:szCs w:val="24"/>
          <w14:ligatures w14:val="standardContextual"/>
        </w:rPr>
      </w:pPr>
    </w:p>
    <w:p w14:paraId="7C91417A" w14:textId="77777777" w:rsidR="008B62F6" w:rsidRPr="008B62F6" w:rsidRDefault="008B62F6" w:rsidP="008B62F6">
      <w:pPr>
        <w:spacing w:after="0" w:line="240" w:lineRule="auto"/>
        <w:rPr>
          <w:rFonts w:ascii="Times New Roman" w:eastAsia="Times New Roman" w:hAnsi="Times New Roman" w:cs="Times New Roman"/>
          <w:kern w:val="2"/>
          <w:sz w:val="24"/>
          <w:szCs w:val="24"/>
          <w:u w:val="single"/>
          <w14:ligatures w14:val="standardContextual"/>
        </w:rPr>
      </w:pPr>
      <w:r w:rsidRPr="008B62F6">
        <w:rPr>
          <w:rFonts w:ascii="Times New Roman" w:eastAsia="Times New Roman" w:hAnsi="Times New Roman" w:cs="Times New Roman"/>
          <w:kern w:val="2"/>
          <w:sz w:val="24"/>
          <w:szCs w:val="24"/>
          <w:u w:val="single"/>
          <w14:ligatures w14:val="standardContextual"/>
        </w:rPr>
        <w:t>Department Committee</w:t>
      </w:r>
    </w:p>
    <w:p w14:paraId="6B89E9CB" w14:textId="77777777" w:rsidR="008B62F6" w:rsidRPr="008B62F6" w:rsidRDefault="008B62F6" w:rsidP="008B62F6">
      <w:pPr>
        <w:spacing w:after="0" w:line="240" w:lineRule="auto"/>
        <w:rPr>
          <w:rFonts w:ascii="Times New Roman" w:eastAsia="Times New Roman" w:hAnsi="Times New Roman" w:cs="Times New Roman"/>
          <w:kern w:val="2"/>
          <w:sz w:val="24"/>
          <w:szCs w:val="24"/>
          <w14:ligatures w14:val="standardContextual"/>
        </w:rPr>
      </w:pPr>
      <w:r w:rsidRPr="008B62F6">
        <w:rPr>
          <w:rFonts w:ascii="Times New Roman" w:eastAsia="Times New Roman" w:hAnsi="Times New Roman" w:cs="Times New Roman"/>
          <w:kern w:val="2"/>
          <w:sz w:val="24"/>
          <w:szCs w:val="24"/>
          <w14:ligatures w14:val="standardContextual"/>
        </w:rPr>
        <w:t xml:space="preserve">Consistent with college and university guidelines, the department has adopted a system of peer evaluations of teaching that requires an evaluation of each faculty member once every three years of active teaching service. Evaluations are conducted by a Peer Evaluation of Teaching (PET) Committee that includes five departmental faculty. </w:t>
      </w:r>
    </w:p>
    <w:p w14:paraId="24DAEFFB" w14:textId="77777777" w:rsidR="008B62F6" w:rsidRPr="008B62F6" w:rsidRDefault="008B62F6" w:rsidP="008B62F6">
      <w:pPr>
        <w:spacing w:after="0" w:line="240" w:lineRule="auto"/>
        <w:rPr>
          <w:rFonts w:ascii="Times New Roman" w:eastAsia="Times New Roman" w:hAnsi="Times New Roman" w:cs="Times New Roman"/>
          <w:kern w:val="2"/>
          <w:sz w:val="24"/>
          <w:szCs w:val="24"/>
          <w14:ligatures w14:val="standardContextual"/>
        </w:rPr>
      </w:pPr>
    </w:p>
    <w:p w14:paraId="7E3544ED" w14:textId="77777777" w:rsidR="008B62F6" w:rsidRPr="008B62F6" w:rsidRDefault="008B62F6" w:rsidP="008B62F6">
      <w:pPr>
        <w:spacing w:after="0" w:line="240" w:lineRule="auto"/>
        <w:rPr>
          <w:rFonts w:ascii="Times New Roman" w:eastAsia="Times New Roman" w:hAnsi="Times New Roman" w:cs="Times New Roman"/>
          <w:kern w:val="2"/>
          <w:sz w:val="24"/>
          <w:szCs w:val="24"/>
          <w14:ligatures w14:val="standardContextual"/>
        </w:rPr>
      </w:pPr>
      <w:r w:rsidRPr="008B62F6">
        <w:rPr>
          <w:rFonts w:ascii="Times New Roman" w:eastAsia="Times New Roman" w:hAnsi="Times New Roman" w:cs="Times New Roman"/>
          <w:kern w:val="2"/>
          <w:sz w:val="24"/>
          <w:szCs w:val="24"/>
          <w14:ligatures w14:val="standardContextual"/>
        </w:rPr>
        <w:t>The PET Committee is constituted as follows:</w:t>
      </w:r>
    </w:p>
    <w:p w14:paraId="5CA222A5" w14:textId="77777777" w:rsidR="008B62F6" w:rsidRPr="008B62F6" w:rsidRDefault="008B62F6" w:rsidP="008A17F1">
      <w:pPr>
        <w:numPr>
          <w:ilvl w:val="0"/>
          <w:numId w:val="31"/>
        </w:numPr>
        <w:spacing w:after="0" w:line="240" w:lineRule="auto"/>
        <w:contextualSpacing/>
        <w:rPr>
          <w:rFonts w:ascii="Times New Roman" w:eastAsia="Times New Roman" w:hAnsi="Times New Roman" w:cs="Times New Roman"/>
          <w:kern w:val="2"/>
          <w:sz w:val="24"/>
          <w:szCs w:val="24"/>
          <w14:ligatures w14:val="standardContextual"/>
        </w:rPr>
      </w:pPr>
      <w:r w:rsidRPr="008B62F6">
        <w:rPr>
          <w:rFonts w:ascii="Times New Roman" w:eastAsia="Times New Roman" w:hAnsi="Times New Roman" w:cs="Times New Roman"/>
          <w:kern w:val="2"/>
          <w:sz w:val="24"/>
          <w:szCs w:val="24"/>
          <w14:ligatures w14:val="standardContextual"/>
        </w:rPr>
        <w:t>Two or three members of the (separate) Annual Merit Evaluation Committee in their second year of service on that committee (all faculty serve 2-year terms on a rotating basis). When a returning member of the TT Annual Merit Evaluation Committee will be on FFL in spring or when other special circumstances make spring service on the PET Committee too onerous, a substitution may be made on the advice of the department Administrative Committee.</w:t>
      </w:r>
    </w:p>
    <w:p w14:paraId="5317F92B" w14:textId="77777777" w:rsidR="008B62F6" w:rsidRPr="008B62F6" w:rsidRDefault="008B62F6" w:rsidP="008A17F1">
      <w:pPr>
        <w:numPr>
          <w:ilvl w:val="0"/>
          <w:numId w:val="31"/>
        </w:numPr>
        <w:spacing w:after="0" w:line="240" w:lineRule="auto"/>
        <w:contextualSpacing/>
        <w:rPr>
          <w:rFonts w:ascii="Times New Roman" w:eastAsia="Times New Roman" w:hAnsi="Times New Roman" w:cs="Times New Roman"/>
          <w:kern w:val="2"/>
          <w:sz w:val="24"/>
          <w:szCs w:val="24"/>
          <w14:ligatures w14:val="standardContextual"/>
        </w:rPr>
      </w:pPr>
      <w:r w:rsidRPr="008B62F6">
        <w:rPr>
          <w:rFonts w:ascii="Times New Roman" w:eastAsia="Times New Roman" w:hAnsi="Times New Roman" w:cs="Times New Roman"/>
          <w:kern w:val="2"/>
          <w:sz w:val="24"/>
          <w:szCs w:val="24"/>
          <w14:ligatures w14:val="standardContextual"/>
        </w:rPr>
        <w:t xml:space="preserve">Two or three faculty members </w:t>
      </w:r>
      <w:proofErr w:type="gramStart"/>
      <w:r w:rsidRPr="008B62F6">
        <w:rPr>
          <w:rFonts w:ascii="Times New Roman" w:eastAsia="Times New Roman" w:hAnsi="Times New Roman" w:cs="Times New Roman"/>
          <w:kern w:val="2"/>
          <w:sz w:val="24"/>
          <w:szCs w:val="24"/>
          <w14:ligatures w14:val="standardContextual"/>
        </w:rPr>
        <w:t>elected</w:t>
      </w:r>
      <w:proofErr w:type="gramEnd"/>
      <w:r w:rsidRPr="008B62F6">
        <w:rPr>
          <w:rFonts w:ascii="Times New Roman" w:eastAsia="Times New Roman" w:hAnsi="Times New Roman" w:cs="Times New Roman"/>
          <w:kern w:val="2"/>
          <w:sz w:val="24"/>
          <w:szCs w:val="24"/>
          <w14:ligatures w14:val="standardContextual"/>
        </w:rPr>
        <w:t xml:space="preserve"> annually by the department faculty. These faculty may serve up to 3 consecutive years if reelected; the department chair has the option to remove faculty members from the ballot at their request. </w:t>
      </w:r>
    </w:p>
    <w:p w14:paraId="59BECFAB" w14:textId="77777777" w:rsidR="008B62F6" w:rsidRPr="008B62F6" w:rsidRDefault="008B62F6" w:rsidP="008B62F6">
      <w:pPr>
        <w:spacing w:after="0" w:line="240" w:lineRule="auto"/>
        <w:rPr>
          <w:rFonts w:ascii="Times New Roman" w:eastAsia="Times New Roman" w:hAnsi="Times New Roman" w:cs="Times New Roman"/>
          <w:kern w:val="2"/>
          <w:sz w:val="24"/>
          <w:szCs w:val="24"/>
          <w14:ligatures w14:val="standardContextual"/>
        </w:rPr>
      </w:pPr>
    </w:p>
    <w:p w14:paraId="0831C64A" w14:textId="77777777" w:rsidR="008B62F6" w:rsidRPr="008B62F6" w:rsidRDefault="008B62F6" w:rsidP="008B62F6">
      <w:pPr>
        <w:spacing w:after="0" w:line="240" w:lineRule="auto"/>
        <w:rPr>
          <w:rFonts w:ascii="Times New Roman" w:eastAsia="Times New Roman" w:hAnsi="Times New Roman" w:cs="Times New Roman"/>
          <w:kern w:val="2"/>
          <w:sz w:val="24"/>
          <w:szCs w:val="24"/>
          <w:u w:val="single"/>
          <w14:ligatures w14:val="standardContextual"/>
        </w:rPr>
      </w:pPr>
      <w:r w:rsidRPr="008B62F6">
        <w:rPr>
          <w:rFonts w:ascii="Times New Roman" w:eastAsia="Times New Roman" w:hAnsi="Times New Roman" w:cs="Times New Roman"/>
          <w:kern w:val="2"/>
          <w:sz w:val="24"/>
          <w:szCs w:val="24"/>
          <w:u w:val="single"/>
          <w14:ligatures w14:val="standardContextual"/>
        </w:rPr>
        <w:t>Department Requirements</w:t>
      </w:r>
    </w:p>
    <w:p w14:paraId="7890BF53" w14:textId="648D9216" w:rsidR="008B62F6" w:rsidRPr="008B62F6" w:rsidRDefault="008B62F6" w:rsidP="008B62F6">
      <w:pPr>
        <w:spacing w:after="0" w:line="240" w:lineRule="auto"/>
        <w:rPr>
          <w:rFonts w:ascii="Times New Roman" w:eastAsia="Times New Roman" w:hAnsi="Times New Roman" w:cs="Times New Roman"/>
          <w:kern w:val="2"/>
          <w:sz w:val="24"/>
          <w:szCs w:val="24"/>
          <w14:ligatures w14:val="standardContextual"/>
        </w:rPr>
      </w:pPr>
      <w:r w:rsidRPr="008B62F6">
        <w:rPr>
          <w:rFonts w:ascii="Times New Roman" w:eastAsia="Times New Roman" w:hAnsi="Times New Roman" w:cs="Times New Roman"/>
          <w:kern w:val="2"/>
          <w:sz w:val="24"/>
          <w:szCs w:val="24"/>
          <w14:ligatures w14:val="standardContextual"/>
        </w:rPr>
        <w:t>The department</w:t>
      </w:r>
      <w:r w:rsidR="00543774">
        <w:rPr>
          <w:rFonts w:ascii="Times New Roman" w:eastAsia="Times New Roman" w:hAnsi="Times New Roman" w:cs="Times New Roman"/>
          <w:kern w:val="2"/>
          <w:sz w:val="24"/>
          <w:szCs w:val="24"/>
          <w14:ligatures w14:val="standardContextual"/>
        </w:rPr>
        <w:t>'</w:t>
      </w:r>
      <w:r w:rsidRPr="008B62F6">
        <w:rPr>
          <w:rFonts w:ascii="Times New Roman" w:eastAsia="Times New Roman" w:hAnsi="Times New Roman" w:cs="Times New Roman"/>
          <w:kern w:val="2"/>
          <w:sz w:val="24"/>
          <w:szCs w:val="24"/>
          <w14:ligatures w14:val="standardContextual"/>
        </w:rPr>
        <w:t>s guidelines state that faculty evaluations should:</w:t>
      </w:r>
    </w:p>
    <w:p w14:paraId="6408C711" w14:textId="3CB04216" w:rsidR="008B62F6" w:rsidRPr="008B62F6" w:rsidRDefault="008B62F6" w:rsidP="008A17F1">
      <w:pPr>
        <w:numPr>
          <w:ilvl w:val="0"/>
          <w:numId w:val="32"/>
        </w:numPr>
        <w:spacing w:after="0" w:line="240" w:lineRule="auto"/>
        <w:contextualSpacing/>
        <w:rPr>
          <w:rFonts w:ascii="Times New Roman" w:eastAsia="Times New Roman" w:hAnsi="Times New Roman" w:cs="Times New Roman"/>
          <w:kern w:val="2"/>
          <w:sz w:val="24"/>
          <w:szCs w:val="24"/>
          <w14:ligatures w14:val="standardContextual"/>
        </w:rPr>
      </w:pPr>
      <w:r w:rsidRPr="008B62F6">
        <w:rPr>
          <w:rFonts w:ascii="Times New Roman" w:eastAsia="Times New Roman" w:hAnsi="Times New Roman" w:cs="Times New Roman"/>
          <w:kern w:val="2"/>
          <w:sz w:val="24"/>
          <w:szCs w:val="24"/>
          <w14:ligatures w14:val="standardContextual"/>
        </w:rPr>
        <w:t>Include evidence from a single course that represents the faculty member</w:t>
      </w:r>
      <w:r w:rsidR="00543774">
        <w:rPr>
          <w:rFonts w:ascii="Times New Roman" w:eastAsia="Times New Roman" w:hAnsi="Times New Roman" w:cs="Times New Roman"/>
          <w:kern w:val="2"/>
          <w:sz w:val="24"/>
          <w:szCs w:val="24"/>
          <w14:ligatures w14:val="standardContextual"/>
        </w:rPr>
        <w:t>'</w:t>
      </w:r>
      <w:r w:rsidRPr="008B62F6">
        <w:rPr>
          <w:rFonts w:ascii="Times New Roman" w:eastAsia="Times New Roman" w:hAnsi="Times New Roman" w:cs="Times New Roman"/>
          <w:kern w:val="2"/>
          <w:sz w:val="24"/>
          <w:szCs w:val="24"/>
          <w14:ligatures w14:val="standardContextual"/>
        </w:rPr>
        <w:t>s primary on-load teaching responsibility.</w:t>
      </w:r>
    </w:p>
    <w:p w14:paraId="3FC9B104" w14:textId="77777777" w:rsidR="008B62F6" w:rsidRPr="008B62F6" w:rsidRDefault="008B62F6" w:rsidP="008A17F1">
      <w:pPr>
        <w:numPr>
          <w:ilvl w:val="0"/>
          <w:numId w:val="32"/>
        </w:numPr>
        <w:spacing w:after="0" w:line="240" w:lineRule="auto"/>
        <w:contextualSpacing/>
        <w:rPr>
          <w:rFonts w:ascii="Times New Roman" w:eastAsia="Times New Roman" w:hAnsi="Times New Roman" w:cs="Times New Roman"/>
          <w:kern w:val="2"/>
          <w:sz w:val="24"/>
          <w:szCs w:val="24"/>
          <w14:ligatures w14:val="standardContextual"/>
        </w:rPr>
      </w:pPr>
      <w:r w:rsidRPr="008B62F6">
        <w:rPr>
          <w:rFonts w:ascii="Times New Roman" w:eastAsia="Times New Roman" w:hAnsi="Times New Roman" w:cs="Times New Roman"/>
          <w:kern w:val="2"/>
          <w:sz w:val="24"/>
          <w:szCs w:val="24"/>
          <w14:ligatures w14:val="standardContextual"/>
        </w:rPr>
        <w:t xml:space="preserve">Select the course through agreement between the faculty </w:t>
      </w:r>
      <w:proofErr w:type="gramStart"/>
      <w:r w:rsidRPr="008B62F6">
        <w:rPr>
          <w:rFonts w:ascii="Times New Roman" w:eastAsia="Times New Roman" w:hAnsi="Times New Roman" w:cs="Times New Roman"/>
          <w:kern w:val="2"/>
          <w:sz w:val="24"/>
          <w:szCs w:val="24"/>
          <w14:ligatures w14:val="standardContextual"/>
        </w:rPr>
        <w:t>member</w:t>
      </w:r>
      <w:proofErr w:type="gramEnd"/>
      <w:r w:rsidRPr="008B62F6">
        <w:rPr>
          <w:rFonts w:ascii="Times New Roman" w:eastAsia="Times New Roman" w:hAnsi="Times New Roman" w:cs="Times New Roman"/>
          <w:kern w:val="2"/>
          <w:sz w:val="24"/>
          <w:szCs w:val="24"/>
          <w14:ligatures w14:val="standardContextual"/>
        </w:rPr>
        <w:t xml:space="preserve"> and the PET Committee. </w:t>
      </w:r>
    </w:p>
    <w:p w14:paraId="3798B820" w14:textId="77777777" w:rsidR="008B62F6" w:rsidRPr="008B62F6" w:rsidRDefault="008B62F6" w:rsidP="008A17F1">
      <w:pPr>
        <w:numPr>
          <w:ilvl w:val="0"/>
          <w:numId w:val="32"/>
        </w:numPr>
        <w:spacing w:after="0" w:line="240" w:lineRule="auto"/>
        <w:contextualSpacing/>
        <w:rPr>
          <w:rFonts w:ascii="Times New Roman" w:eastAsia="Times New Roman" w:hAnsi="Times New Roman" w:cs="Times New Roman"/>
          <w:kern w:val="2"/>
          <w:sz w:val="24"/>
          <w:szCs w:val="24"/>
          <w14:ligatures w14:val="standardContextual"/>
        </w:rPr>
      </w:pPr>
      <w:r w:rsidRPr="008B62F6">
        <w:rPr>
          <w:rFonts w:ascii="Times New Roman" w:eastAsia="Times New Roman" w:hAnsi="Times New Roman" w:cs="Times New Roman"/>
          <w:kern w:val="2"/>
          <w:sz w:val="24"/>
          <w:szCs w:val="24"/>
          <w14:ligatures w14:val="standardContextual"/>
        </w:rPr>
        <w:t xml:space="preserve">Include evidence from at least two different sources for each criterion evaluated, to be selected by the faculty member from a predetermined list of potential combinations of evidence for each criterion. (Alternate sources of evidence may be used by agreement between the faculty member and the PET Committee.) </w:t>
      </w:r>
    </w:p>
    <w:p w14:paraId="78DC7D03" w14:textId="571F68A8" w:rsidR="008B62F6" w:rsidRPr="008B62F6" w:rsidRDefault="008B62F6" w:rsidP="008A17F1">
      <w:pPr>
        <w:numPr>
          <w:ilvl w:val="0"/>
          <w:numId w:val="32"/>
        </w:numPr>
        <w:spacing w:after="0" w:line="240" w:lineRule="auto"/>
        <w:contextualSpacing/>
        <w:rPr>
          <w:rFonts w:ascii="Times New Roman" w:eastAsia="Times New Roman" w:hAnsi="Times New Roman" w:cs="Times New Roman"/>
          <w:kern w:val="2"/>
          <w:sz w:val="24"/>
          <w:szCs w:val="24"/>
          <w14:ligatures w14:val="standardContextual"/>
        </w:rPr>
      </w:pPr>
      <w:r w:rsidRPr="008B62F6">
        <w:rPr>
          <w:rFonts w:ascii="Times New Roman" w:eastAsia="Times New Roman" w:hAnsi="Times New Roman" w:cs="Times New Roman"/>
          <w:kern w:val="2"/>
          <w:sz w:val="24"/>
          <w:szCs w:val="24"/>
          <w14:ligatures w14:val="standardContextual"/>
        </w:rPr>
        <w:lastRenderedPageBreak/>
        <w:t xml:space="preserve">Focus on </w:t>
      </w:r>
      <w:r w:rsidRPr="008B62F6">
        <w:rPr>
          <w:rFonts w:ascii="Times New Roman" w:eastAsia="Times New Roman" w:hAnsi="Times New Roman" w:cs="Times New Roman"/>
          <w:b/>
          <w:bCs/>
          <w:kern w:val="2"/>
          <w:sz w:val="24"/>
          <w:szCs w:val="24"/>
          <w14:ligatures w14:val="standardContextual"/>
        </w:rPr>
        <w:t xml:space="preserve">two </w:t>
      </w:r>
      <w:r w:rsidRPr="008B62F6">
        <w:rPr>
          <w:rFonts w:ascii="Times New Roman" w:eastAsia="Times New Roman" w:hAnsi="Times New Roman" w:cs="Times New Roman"/>
          <w:kern w:val="2"/>
          <w:sz w:val="24"/>
          <w:szCs w:val="24"/>
          <w14:ligatures w14:val="standardContextual"/>
        </w:rPr>
        <w:t xml:space="preserve">teaching excellence criteria, which are selected by the faculty </w:t>
      </w:r>
      <w:proofErr w:type="gramStart"/>
      <w:r w:rsidRPr="008B62F6">
        <w:rPr>
          <w:rFonts w:ascii="Times New Roman" w:eastAsia="Times New Roman" w:hAnsi="Times New Roman" w:cs="Times New Roman"/>
          <w:kern w:val="2"/>
          <w:sz w:val="24"/>
          <w:szCs w:val="24"/>
          <w14:ligatures w14:val="standardContextual"/>
        </w:rPr>
        <w:t>member</w:t>
      </w:r>
      <w:proofErr w:type="gramEnd"/>
      <w:r w:rsidRPr="008B62F6">
        <w:rPr>
          <w:rFonts w:ascii="Times New Roman" w:eastAsia="Times New Roman" w:hAnsi="Times New Roman" w:cs="Times New Roman"/>
          <w:kern w:val="2"/>
          <w:sz w:val="24"/>
          <w:szCs w:val="24"/>
          <w14:ligatures w14:val="standardContextual"/>
        </w:rPr>
        <w:t xml:space="preserve"> from among a list of four areas identified in the prior year</w:t>
      </w:r>
      <w:r w:rsidR="00543774">
        <w:rPr>
          <w:rFonts w:ascii="Times New Roman" w:eastAsia="Times New Roman" w:hAnsi="Times New Roman" w:cs="Times New Roman"/>
          <w:kern w:val="2"/>
          <w:sz w:val="24"/>
          <w:szCs w:val="24"/>
          <w14:ligatures w14:val="standardContextual"/>
        </w:rPr>
        <w:t>'</w:t>
      </w:r>
      <w:r w:rsidRPr="008B62F6">
        <w:rPr>
          <w:rFonts w:ascii="Times New Roman" w:eastAsia="Times New Roman" w:hAnsi="Times New Roman" w:cs="Times New Roman"/>
          <w:kern w:val="2"/>
          <w:sz w:val="24"/>
          <w:szCs w:val="24"/>
          <w14:ligatures w14:val="standardContextual"/>
        </w:rPr>
        <w:t>s annual merit evaluation.</w:t>
      </w:r>
    </w:p>
    <w:p w14:paraId="3DB4D0AE" w14:textId="277C3FFD" w:rsidR="008B62F6" w:rsidRPr="008B62F6" w:rsidRDefault="008B62F6" w:rsidP="008A17F1">
      <w:pPr>
        <w:numPr>
          <w:ilvl w:val="0"/>
          <w:numId w:val="32"/>
        </w:numPr>
        <w:spacing w:after="0" w:line="240" w:lineRule="auto"/>
        <w:contextualSpacing/>
        <w:rPr>
          <w:rFonts w:ascii="Times New Roman" w:eastAsia="Times New Roman" w:hAnsi="Times New Roman" w:cs="Times New Roman"/>
          <w:kern w:val="2"/>
          <w:sz w:val="24"/>
          <w:szCs w:val="24"/>
          <w14:ligatures w14:val="standardContextual"/>
        </w:rPr>
      </w:pPr>
      <w:r w:rsidRPr="008B62F6">
        <w:rPr>
          <w:rFonts w:ascii="Times New Roman" w:eastAsia="Times New Roman" w:hAnsi="Times New Roman" w:cs="Times New Roman"/>
          <w:kern w:val="2"/>
          <w:sz w:val="24"/>
          <w:szCs w:val="24"/>
          <w14:ligatures w14:val="standardContextual"/>
        </w:rPr>
        <w:t xml:space="preserve">Address 2-3 specific goals identified by the faculty member as well as </w:t>
      </w:r>
      <w:r w:rsidR="00820919">
        <w:rPr>
          <w:rFonts w:ascii="Times New Roman" w:eastAsia="Times New Roman" w:hAnsi="Times New Roman" w:cs="Times New Roman"/>
          <w:kern w:val="2"/>
          <w:sz w:val="24"/>
          <w:szCs w:val="24"/>
          <w14:ligatures w14:val="standardContextual"/>
        </w:rPr>
        <w:t xml:space="preserve">provide </w:t>
      </w:r>
      <w:r w:rsidRPr="008B62F6">
        <w:rPr>
          <w:rFonts w:ascii="Times New Roman" w:eastAsia="Times New Roman" w:hAnsi="Times New Roman" w:cs="Times New Roman"/>
          <w:kern w:val="2"/>
          <w:sz w:val="24"/>
          <w:szCs w:val="24"/>
          <w14:ligatures w14:val="standardContextual"/>
        </w:rPr>
        <w:t xml:space="preserve">constructive formative feedback where the PET Committee sees significant opportunity for growth or refinement with regard to the target criteria of teaching excellence. </w:t>
      </w:r>
    </w:p>
    <w:p w14:paraId="5CB66EF6" w14:textId="77777777" w:rsidR="008B62F6" w:rsidRPr="008B62F6" w:rsidRDefault="008B62F6" w:rsidP="008B62F6">
      <w:pPr>
        <w:spacing w:after="0" w:line="240" w:lineRule="auto"/>
        <w:ind w:left="720"/>
        <w:contextualSpacing/>
        <w:rPr>
          <w:rFonts w:ascii="Times New Roman" w:eastAsia="Times New Roman" w:hAnsi="Times New Roman" w:cs="Times New Roman"/>
          <w:kern w:val="2"/>
          <w:sz w:val="24"/>
          <w:szCs w:val="24"/>
          <w14:ligatures w14:val="standardContextual"/>
        </w:rPr>
      </w:pPr>
    </w:p>
    <w:p w14:paraId="5DCBC5B5" w14:textId="77777777" w:rsidR="008B62F6" w:rsidRPr="008B62F6" w:rsidRDefault="008B62F6" w:rsidP="008B62F6">
      <w:pPr>
        <w:spacing w:after="0" w:line="240" w:lineRule="auto"/>
        <w:rPr>
          <w:rFonts w:ascii="Times New Roman" w:eastAsia="Times New Roman" w:hAnsi="Times New Roman" w:cs="Times New Roman"/>
          <w:kern w:val="2"/>
          <w:sz w:val="24"/>
          <w:szCs w:val="24"/>
          <w:u w:val="single"/>
          <w14:ligatures w14:val="standardContextual"/>
        </w:rPr>
      </w:pPr>
      <w:r w:rsidRPr="008B62F6">
        <w:rPr>
          <w:rFonts w:ascii="Times New Roman" w:eastAsia="Times New Roman" w:hAnsi="Times New Roman" w:cs="Times New Roman"/>
          <w:kern w:val="2"/>
          <w:sz w:val="24"/>
          <w:szCs w:val="24"/>
          <w:u w:val="single"/>
          <w14:ligatures w14:val="standardContextual"/>
        </w:rPr>
        <w:t>Sample Faculty Member</w:t>
      </w:r>
    </w:p>
    <w:p w14:paraId="6D6C91A2" w14:textId="5074E317" w:rsidR="008B62F6" w:rsidRPr="008B62F6" w:rsidRDefault="0CC3D87A" w:rsidP="008B62F6">
      <w:pPr>
        <w:spacing w:after="0" w:line="240" w:lineRule="auto"/>
        <w:rPr>
          <w:rFonts w:ascii="Times New Roman" w:eastAsia="Times New Roman" w:hAnsi="Times New Roman" w:cs="Times New Roman"/>
          <w:kern w:val="2"/>
          <w:sz w:val="24"/>
          <w:szCs w:val="24"/>
          <w14:ligatures w14:val="standardContextual"/>
        </w:rPr>
      </w:pPr>
      <w:r w:rsidRPr="008B62F6">
        <w:rPr>
          <w:rFonts w:ascii="Times New Roman" w:eastAsia="Times New Roman" w:hAnsi="Times New Roman" w:cs="Times New Roman"/>
          <w:kern w:val="2"/>
          <w:sz w:val="24"/>
          <w:szCs w:val="24"/>
          <w14:ligatures w14:val="standardContextual"/>
        </w:rPr>
        <w:t>The tenure-track faculty member scheduled for an upcoming evaluation teaches primarily in-person undergraduate courses. The criteria chosen to be evaluated are inclusion and adaptability. The faculty member</w:t>
      </w:r>
      <w:r w:rsidR="00543774">
        <w:rPr>
          <w:rFonts w:ascii="Times New Roman" w:eastAsia="Times New Roman" w:hAnsi="Times New Roman" w:cs="Times New Roman"/>
          <w:kern w:val="2"/>
          <w:sz w:val="24"/>
          <w:szCs w:val="24"/>
          <w14:ligatures w14:val="standardContextual"/>
        </w:rPr>
        <w:t>'</w:t>
      </w:r>
      <w:r w:rsidRPr="008B62F6">
        <w:rPr>
          <w:rFonts w:ascii="Times New Roman" w:eastAsia="Times New Roman" w:hAnsi="Times New Roman" w:cs="Times New Roman"/>
          <w:kern w:val="2"/>
          <w:sz w:val="24"/>
          <w:szCs w:val="24"/>
          <w14:ligatures w14:val="standardContextual"/>
        </w:rPr>
        <w:t xml:space="preserve">s goals are </w:t>
      </w:r>
      <w:r w:rsidR="41617338" w:rsidRPr="008B62F6">
        <w:rPr>
          <w:rFonts w:ascii="Times New Roman" w:eastAsia="Times New Roman" w:hAnsi="Times New Roman" w:cs="Times New Roman"/>
          <w:kern w:val="2"/>
          <w:sz w:val="24"/>
          <w:szCs w:val="24"/>
          <w14:ligatures w14:val="standardContextual"/>
        </w:rPr>
        <w:t>(customize for faculty).</w:t>
      </w:r>
    </w:p>
    <w:p w14:paraId="791BEEBB" w14:textId="77777777" w:rsidR="008B62F6" w:rsidRPr="008B62F6" w:rsidRDefault="008B62F6" w:rsidP="008B62F6">
      <w:pPr>
        <w:spacing w:after="0" w:line="240" w:lineRule="auto"/>
        <w:rPr>
          <w:rFonts w:ascii="Times New Roman" w:eastAsia="Times New Roman" w:hAnsi="Times New Roman" w:cs="Times New Roman"/>
          <w:kern w:val="2"/>
          <w:sz w:val="24"/>
          <w:szCs w:val="24"/>
          <w14:ligatures w14:val="standardContextual"/>
        </w:rPr>
      </w:pPr>
    </w:p>
    <w:p w14:paraId="3FA277F1" w14:textId="77777777" w:rsidR="008B62F6" w:rsidRPr="008B62F6" w:rsidRDefault="008B62F6" w:rsidP="008B62F6">
      <w:pPr>
        <w:spacing w:after="0" w:line="240" w:lineRule="auto"/>
        <w:rPr>
          <w:rFonts w:ascii="Times New Roman" w:eastAsia="Times New Roman" w:hAnsi="Times New Roman" w:cs="Times New Roman"/>
          <w:b/>
          <w:bCs/>
          <w:kern w:val="2"/>
          <w:sz w:val="24"/>
          <w:szCs w:val="24"/>
          <w14:ligatures w14:val="standardContextual"/>
        </w:rPr>
      </w:pPr>
      <w:r w:rsidRPr="008B62F6">
        <w:rPr>
          <w:rFonts w:ascii="Times New Roman" w:eastAsia="Times New Roman" w:hAnsi="Times New Roman" w:cs="Times New Roman"/>
          <w:b/>
          <w:bCs/>
          <w:kern w:val="2"/>
          <w:sz w:val="24"/>
          <w:szCs w:val="24"/>
          <w14:ligatures w14:val="standardContextual"/>
        </w:rPr>
        <w:t>Steps in the Process</w:t>
      </w:r>
    </w:p>
    <w:p w14:paraId="56E023B4" w14:textId="64F21233" w:rsidR="008B62F6" w:rsidRPr="008B62F6" w:rsidRDefault="008B62F6" w:rsidP="008A17F1">
      <w:pPr>
        <w:numPr>
          <w:ilvl w:val="0"/>
          <w:numId w:val="33"/>
        </w:numPr>
        <w:spacing w:before="120" w:after="120" w:line="240" w:lineRule="auto"/>
        <w:rPr>
          <w:rFonts w:ascii="Times New Roman" w:eastAsia="Times New Roman" w:hAnsi="Times New Roman" w:cs="Times New Roman"/>
          <w:kern w:val="2"/>
          <w:sz w:val="24"/>
          <w:szCs w:val="24"/>
          <w14:ligatures w14:val="standardContextual"/>
        </w:rPr>
      </w:pPr>
      <w:r w:rsidRPr="008B62F6">
        <w:rPr>
          <w:rFonts w:ascii="Times New Roman" w:eastAsia="Times New Roman" w:hAnsi="Times New Roman" w:cs="Times New Roman"/>
          <w:i/>
          <w:iCs/>
          <w:kern w:val="2"/>
          <w:sz w:val="24"/>
          <w:szCs w:val="24"/>
          <w14:ligatures w14:val="standardContextual"/>
        </w:rPr>
        <w:t>Evaluator Selection and Training</w:t>
      </w:r>
      <w:r w:rsidRPr="008B62F6">
        <w:rPr>
          <w:rFonts w:ascii="Times New Roman" w:eastAsia="Times New Roman" w:hAnsi="Times New Roman" w:cs="Times New Roman"/>
          <w:kern w:val="2"/>
          <w:sz w:val="24"/>
          <w:szCs w:val="24"/>
          <w14:ligatures w14:val="standardContextual"/>
        </w:rPr>
        <w:t xml:space="preserve">. The PET Committee and training by CTLA are established in college and department processes. Normally all members of the PET Committee are expected to review all of the evidence provided for each faculty member. If a peer observation were necessary, the PET Committee would assign one committee member to attend a class meeting in person and record the class for review by other committee members at their request. That is not necessary in this hypothetical case. </w:t>
      </w:r>
    </w:p>
    <w:p w14:paraId="6FC69158" w14:textId="324B8851" w:rsidR="008B62F6" w:rsidRPr="008B62F6" w:rsidRDefault="008B62F6" w:rsidP="008A17F1">
      <w:pPr>
        <w:numPr>
          <w:ilvl w:val="0"/>
          <w:numId w:val="33"/>
        </w:numPr>
        <w:spacing w:before="120" w:after="120" w:line="240" w:lineRule="auto"/>
        <w:rPr>
          <w:rFonts w:ascii="Times New Roman" w:eastAsia="Times New Roman" w:hAnsi="Times New Roman" w:cs="Times New Roman"/>
          <w:kern w:val="2"/>
          <w:sz w:val="24"/>
          <w:szCs w:val="24"/>
          <w14:ligatures w14:val="standardContextual"/>
        </w:rPr>
      </w:pPr>
      <w:r w:rsidRPr="008B62F6">
        <w:rPr>
          <w:rFonts w:ascii="Times New Roman" w:eastAsia="Times New Roman" w:hAnsi="Times New Roman" w:cs="Times New Roman"/>
          <w:i/>
          <w:iCs/>
          <w:kern w:val="2"/>
          <w:sz w:val="24"/>
          <w:szCs w:val="24"/>
          <w14:ligatures w14:val="standardContextual"/>
        </w:rPr>
        <w:t>Faculty Input and Goal Setting</w:t>
      </w:r>
      <w:r w:rsidRPr="008B62F6">
        <w:rPr>
          <w:rFonts w:ascii="Times New Roman" w:eastAsia="Times New Roman" w:hAnsi="Times New Roman" w:cs="Times New Roman"/>
          <w:kern w:val="2"/>
          <w:sz w:val="24"/>
          <w:szCs w:val="24"/>
          <w14:ligatures w14:val="standardContextual"/>
        </w:rPr>
        <w:t xml:space="preserve">. By October 1, the faculty member informs the PET Committee in writing of the </w:t>
      </w:r>
      <w:proofErr w:type="gramStart"/>
      <w:r w:rsidRPr="008B62F6">
        <w:rPr>
          <w:rFonts w:ascii="Times New Roman" w:eastAsia="Times New Roman" w:hAnsi="Times New Roman" w:cs="Times New Roman"/>
          <w:kern w:val="2"/>
          <w:sz w:val="24"/>
          <w:szCs w:val="24"/>
          <w14:ligatures w14:val="standardContextual"/>
        </w:rPr>
        <w:t>foci</w:t>
      </w:r>
      <w:proofErr w:type="gramEnd"/>
      <w:r w:rsidRPr="008B62F6">
        <w:rPr>
          <w:rFonts w:ascii="Times New Roman" w:eastAsia="Times New Roman" w:hAnsi="Times New Roman" w:cs="Times New Roman"/>
          <w:kern w:val="2"/>
          <w:sz w:val="24"/>
          <w:szCs w:val="24"/>
          <w14:ligatures w14:val="standardContextual"/>
        </w:rPr>
        <w:t xml:space="preserve"> of the evaluation (inclusion and adaptability), their preferred course for evaluation (a current fall semester course), their proposed evidence (the course Canvas site and assessment data for inclusion, the course Canvas site and a self-reflection for adaptability), and their three primary goals for the evaluation. The PET Committee accepts the course as a good representation of the faculty </w:t>
      </w:r>
      <w:proofErr w:type="gramStart"/>
      <w:r w:rsidRPr="008B62F6">
        <w:rPr>
          <w:rFonts w:ascii="Times New Roman" w:eastAsia="Times New Roman" w:hAnsi="Times New Roman" w:cs="Times New Roman"/>
          <w:kern w:val="2"/>
          <w:sz w:val="24"/>
          <w:szCs w:val="24"/>
          <w14:ligatures w14:val="standardContextual"/>
        </w:rPr>
        <w:t>member</w:t>
      </w:r>
      <w:r w:rsidR="00543774">
        <w:rPr>
          <w:rFonts w:ascii="Times New Roman" w:eastAsia="Times New Roman" w:hAnsi="Times New Roman" w:cs="Times New Roman"/>
          <w:kern w:val="2"/>
          <w:sz w:val="24"/>
          <w:szCs w:val="24"/>
          <w14:ligatures w14:val="standardContextual"/>
        </w:rPr>
        <w:t>'</w:t>
      </w:r>
      <w:r w:rsidRPr="008B62F6">
        <w:rPr>
          <w:rFonts w:ascii="Times New Roman" w:eastAsia="Times New Roman" w:hAnsi="Times New Roman" w:cs="Times New Roman"/>
          <w:kern w:val="2"/>
          <w:sz w:val="24"/>
          <w:szCs w:val="24"/>
          <w14:ligatures w14:val="standardContextual"/>
        </w:rPr>
        <w:t>s</w:t>
      </w:r>
      <w:proofErr w:type="gramEnd"/>
      <w:r w:rsidRPr="008B62F6">
        <w:rPr>
          <w:rFonts w:ascii="Times New Roman" w:eastAsia="Times New Roman" w:hAnsi="Times New Roman" w:cs="Times New Roman"/>
          <w:kern w:val="2"/>
          <w:sz w:val="24"/>
          <w:szCs w:val="24"/>
          <w14:ligatures w14:val="standardContextual"/>
        </w:rPr>
        <w:t xml:space="preserve"> primary teaching responsibilities.</w:t>
      </w:r>
    </w:p>
    <w:p w14:paraId="2FC2DED2" w14:textId="77777777" w:rsidR="008B62F6" w:rsidRPr="008B62F6" w:rsidRDefault="008B62F6" w:rsidP="008A17F1">
      <w:pPr>
        <w:numPr>
          <w:ilvl w:val="0"/>
          <w:numId w:val="33"/>
        </w:numPr>
        <w:spacing w:before="120" w:after="120" w:line="240" w:lineRule="auto"/>
        <w:rPr>
          <w:rFonts w:ascii="Times New Roman" w:eastAsia="Times New Roman" w:hAnsi="Times New Roman" w:cs="Times New Roman"/>
          <w:kern w:val="2"/>
          <w:sz w:val="24"/>
          <w:szCs w:val="24"/>
          <w14:ligatures w14:val="standardContextual"/>
        </w:rPr>
      </w:pPr>
      <w:r w:rsidRPr="008B62F6">
        <w:rPr>
          <w:rFonts w:ascii="Times New Roman" w:eastAsia="Times New Roman" w:hAnsi="Times New Roman" w:cs="Times New Roman"/>
          <w:i/>
          <w:iCs/>
          <w:kern w:val="2"/>
          <w:sz w:val="24"/>
          <w:szCs w:val="24"/>
          <w14:ligatures w14:val="standardContextual"/>
        </w:rPr>
        <w:t>Evidence Collection</w:t>
      </w:r>
      <w:r w:rsidRPr="008B62F6">
        <w:rPr>
          <w:rFonts w:ascii="Times New Roman" w:eastAsia="Times New Roman" w:hAnsi="Times New Roman" w:cs="Times New Roman"/>
          <w:kern w:val="2"/>
          <w:sz w:val="24"/>
          <w:szCs w:val="24"/>
          <w14:ligatures w14:val="standardContextual"/>
        </w:rPr>
        <w:t xml:space="preserve">. After submitting fall grades in December, the faculty member adds the members of the PET Committee to the Canvas course. By February 1, the faculty member sends assessment data for two course learning outcomes and a teaching self-reflection that addresses adaptability to the PET Committee. </w:t>
      </w:r>
    </w:p>
    <w:p w14:paraId="61EAEFE2" w14:textId="5F580B6E" w:rsidR="008B62F6" w:rsidRPr="008B62F6" w:rsidRDefault="008B62F6" w:rsidP="008A17F1">
      <w:pPr>
        <w:numPr>
          <w:ilvl w:val="0"/>
          <w:numId w:val="33"/>
        </w:numPr>
        <w:spacing w:before="120" w:after="120" w:line="240" w:lineRule="auto"/>
        <w:rPr>
          <w:rFonts w:ascii="Times New Roman" w:eastAsia="Times New Roman" w:hAnsi="Times New Roman" w:cs="Times New Roman"/>
          <w:kern w:val="2"/>
          <w:sz w:val="24"/>
          <w:szCs w:val="24"/>
          <w14:ligatures w14:val="standardContextual"/>
        </w:rPr>
      </w:pPr>
      <w:r w:rsidRPr="12418110">
        <w:rPr>
          <w:rFonts w:ascii="Times New Roman" w:eastAsia="Times New Roman" w:hAnsi="Times New Roman" w:cs="Times New Roman"/>
          <w:i/>
          <w:iCs/>
          <w:kern w:val="2"/>
          <w:sz w:val="24"/>
          <w:szCs w:val="24"/>
          <w14:ligatures w14:val="standardContextual"/>
        </w:rPr>
        <w:t>Evaluation</w:t>
      </w:r>
      <w:r w:rsidRPr="008B62F6">
        <w:rPr>
          <w:rFonts w:ascii="Times New Roman" w:eastAsia="Times New Roman" w:hAnsi="Times New Roman" w:cs="Times New Roman"/>
          <w:kern w:val="2"/>
          <w:sz w:val="24"/>
          <w:szCs w:val="24"/>
          <w14:ligatures w14:val="standardContextual"/>
        </w:rPr>
        <w:t xml:space="preserve">. The PET Committee members individually use standard rubrics for each criterion to evaluate the course materials on Canvas, the assessment data, and the self-reflection. The PET Committee then meets, discusses the rubrics, and, to the extent necessary after discussion, averages rubric scores. The PET Committee also considers any additional notes especially relevant to the faculty </w:t>
      </w:r>
      <w:r w:rsidR="122DE2BE" w:rsidRPr="008B62F6">
        <w:rPr>
          <w:rFonts w:ascii="Times New Roman" w:eastAsia="Times New Roman" w:hAnsi="Times New Roman" w:cs="Times New Roman"/>
          <w:kern w:val="2"/>
          <w:sz w:val="24"/>
          <w:szCs w:val="24"/>
          <w14:ligatures w14:val="standardContextual"/>
        </w:rPr>
        <w:t>member</w:t>
      </w:r>
      <w:r w:rsidR="00543774">
        <w:rPr>
          <w:rFonts w:ascii="Times New Roman" w:eastAsia="Times New Roman" w:hAnsi="Times New Roman" w:cs="Times New Roman"/>
          <w:kern w:val="2"/>
          <w:sz w:val="24"/>
          <w:szCs w:val="24"/>
          <w14:ligatures w14:val="standardContextual"/>
        </w:rPr>
        <w:t>'</w:t>
      </w:r>
      <w:r w:rsidR="122DE2BE" w:rsidRPr="008B62F6">
        <w:rPr>
          <w:rFonts w:ascii="Times New Roman" w:eastAsia="Times New Roman" w:hAnsi="Times New Roman" w:cs="Times New Roman"/>
          <w:kern w:val="2"/>
          <w:sz w:val="24"/>
          <w:szCs w:val="24"/>
          <w14:ligatures w14:val="standardContextual"/>
        </w:rPr>
        <w:t>s</w:t>
      </w:r>
      <w:r w:rsidRPr="008B62F6">
        <w:rPr>
          <w:rFonts w:ascii="Times New Roman" w:eastAsia="Times New Roman" w:hAnsi="Times New Roman" w:cs="Times New Roman"/>
          <w:kern w:val="2"/>
          <w:sz w:val="24"/>
          <w:szCs w:val="24"/>
          <w14:ligatures w14:val="standardContextual"/>
        </w:rPr>
        <w:t xml:space="preserve"> goals.</w:t>
      </w:r>
    </w:p>
    <w:p w14:paraId="0D01A9E4" w14:textId="77777777" w:rsidR="008B62F6" w:rsidRPr="008B62F6" w:rsidRDefault="008B62F6" w:rsidP="008A17F1">
      <w:pPr>
        <w:numPr>
          <w:ilvl w:val="0"/>
          <w:numId w:val="33"/>
        </w:numPr>
        <w:spacing w:line="240" w:lineRule="auto"/>
        <w:contextualSpacing/>
        <w:rPr>
          <w:rFonts w:ascii="Times New Roman" w:eastAsia="Times New Roman" w:hAnsi="Times New Roman" w:cs="Times New Roman"/>
          <w:kern w:val="2"/>
          <w:sz w:val="24"/>
          <w:szCs w:val="24"/>
          <w14:ligatures w14:val="standardContextual"/>
        </w:rPr>
      </w:pPr>
      <w:r w:rsidRPr="008B62F6">
        <w:rPr>
          <w:rFonts w:ascii="Times New Roman" w:eastAsia="Times New Roman" w:hAnsi="Times New Roman" w:cs="Times New Roman"/>
          <w:i/>
          <w:iCs/>
          <w:kern w:val="2"/>
          <w:sz w:val="24"/>
          <w:szCs w:val="24"/>
          <w14:ligatures w14:val="standardContextual"/>
        </w:rPr>
        <w:t>Written Report</w:t>
      </w:r>
      <w:r w:rsidRPr="008B62F6">
        <w:rPr>
          <w:rFonts w:ascii="Times New Roman" w:eastAsia="Times New Roman" w:hAnsi="Times New Roman" w:cs="Times New Roman"/>
          <w:kern w:val="2"/>
          <w:sz w:val="24"/>
          <w:szCs w:val="24"/>
          <w14:ligatures w14:val="standardContextual"/>
        </w:rPr>
        <w:t>. The PET Committee prepares a written report that includes a description of the evidence evaluated, assessments of teaching excellence based on selected criteria, and constructive, respectful feedback focused on professional development in teaching, learning, and/or assessment. When all members have agreed, the PET Committee sends the report to the department chair, who in turn sends it to the faculty member by May 1.</w:t>
      </w:r>
    </w:p>
    <w:p w14:paraId="13DF3BD0" w14:textId="77777777" w:rsidR="008B62F6" w:rsidRPr="008B62F6" w:rsidRDefault="008B62F6" w:rsidP="008B62F6">
      <w:pPr>
        <w:spacing w:after="0" w:line="240" w:lineRule="auto"/>
        <w:rPr>
          <w:rFonts w:ascii="Times New Roman" w:eastAsia="Times New Roman" w:hAnsi="Times New Roman" w:cs="Times New Roman"/>
          <w:kern w:val="2"/>
          <w:sz w:val="24"/>
          <w:szCs w:val="24"/>
          <w14:ligatures w14:val="standardContextual"/>
        </w:rPr>
      </w:pPr>
    </w:p>
    <w:p w14:paraId="760665F0" w14:textId="77777777" w:rsidR="008B62F6" w:rsidRPr="008B62F6" w:rsidRDefault="008B62F6" w:rsidP="008B62F6">
      <w:pPr>
        <w:spacing w:after="0" w:line="240" w:lineRule="auto"/>
        <w:rPr>
          <w:rFonts w:ascii="Times New Roman" w:eastAsia="Times New Roman" w:hAnsi="Times New Roman" w:cs="Times New Roman"/>
          <w:b/>
          <w:bCs/>
          <w:kern w:val="2"/>
          <w:sz w:val="24"/>
          <w:szCs w:val="24"/>
          <w14:ligatures w14:val="standardContextual"/>
        </w:rPr>
      </w:pPr>
      <w:r w:rsidRPr="008B62F6">
        <w:rPr>
          <w:rFonts w:ascii="Times New Roman" w:eastAsia="Times New Roman" w:hAnsi="Times New Roman" w:cs="Times New Roman"/>
          <w:b/>
          <w:bCs/>
          <w:kern w:val="2"/>
          <w:sz w:val="24"/>
          <w:szCs w:val="24"/>
          <w14:ligatures w14:val="standardContextual"/>
        </w:rPr>
        <w:t>Documentation / Record Keeping</w:t>
      </w:r>
    </w:p>
    <w:p w14:paraId="6E819E0C" w14:textId="6F569BCC" w:rsidR="008B62F6" w:rsidRPr="008B62F6" w:rsidRDefault="008B62F6" w:rsidP="008B62F6">
      <w:pPr>
        <w:spacing w:after="0" w:line="240" w:lineRule="auto"/>
        <w:rPr>
          <w:rFonts w:ascii="Times New Roman" w:eastAsia="Times New Roman" w:hAnsi="Times New Roman" w:cs="Times New Roman"/>
          <w:kern w:val="2"/>
          <w:sz w:val="24"/>
          <w:szCs w:val="24"/>
          <w14:ligatures w14:val="standardContextual"/>
        </w:rPr>
      </w:pPr>
      <w:r w:rsidRPr="008B62F6">
        <w:rPr>
          <w:rFonts w:ascii="Times New Roman" w:eastAsia="Times New Roman" w:hAnsi="Times New Roman" w:cs="Times New Roman"/>
          <w:kern w:val="2"/>
          <w:sz w:val="24"/>
          <w:szCs w:val="24"/>
          <w14:ligatures w14:val="standardContextual"/>
        </w:rPr>
        <w:t xml:space="preserve">Per college policy, the department chair retains a record of </w:t>
      </w:r>
      <w:r w:rsidR="00D22552">
        <w:rPr>
          <w:rFonts w:ascii="Times New Roman" w:eastAsia="Times New Roman" w:hAnsi="Times New Roman" w:cs="Times New Roman"/>
          <w:kern w:val="2"/>
          <w:sz w:val="24"/>
          <w:szCs w:val="24"/>
          <w14:ligatures w14:val="standardContextual"/>
        </w:rPr>
        <w:t xml:space="preserve">the </w:t>
      </w:r>
      <w:r w:rsidRPr="008B62F6">
        <w:rPr>
          <w:rFonts w:ascii="Times New Roman" w:eastAsia="Times New Roman" w:hAnsi="Times New Roman" w:cs="Times New Roman"/>
          <w:kern w:val="2"/>
          <w:sz w:val="24"/>
          <w:szCs w:val="24"/>
          <w14:ligatures w14:val="standardContextual"/>
        </w:rPr>
        <w:t xml:space="preserve">written report and the date the evaluation was completed. A copy of the report is included in the departmental personnel file. </w:t>
      </w:r>
    </w:p>
    <w:p w14:paraId="397DBF70" w14:textId="77777777" w:rsidR="00820235" w:rsidRDefault="00820235" w:rsidP="00820235"/>
    <w:p w14:paraId="5636C630" w14:textId="77777777" w:rsidR="00820235" w:rsidRPr="008B62F6" w:rsidRDefault="00820235" w:rsidP="008B62F6">
      <w:pPr>
        <w:spacing w:after="0" w:line="240" w:lineRule="auto"/>
        <w:rPr>
          <w:sz w:val="24"/>
          <w:szCs w:val="24"/>
        </w:rPr>
      </w:pPr>
    </w:p>
    <w:p w14:paraId="27E2B697" w14:textId="6235800F" w:rsidR="008B62F6" w:rsidRPr="008B62F6" w:rsidRDefault="023FD2D1" w:rsidP="008B62F6">
      <w:pPr>
        <w:pStyle w:val="IntenseQuote"/>
      </w:pPr>
      <w:r>
        <w:lastRenderedPageBreak/>
        <w:t>Example 5:</w:t>
      </w:r>
      <w:r w:rsidR="0083257A">
        <w:br/>
      </w:r>
      <w:r w:rsidR="0CC3D87A">
        <w:t>Applied Instrument Courses in Music</w:t>
      </w:r>
    </w:p>
    <w:p w14:paraId="0D31D85D" w14:textId="77777777" w:rsidR="008B62F6" w:rsidRDefault="008B62F6" w:rsidP="008B62F6">
      <w:pPr>
        <w:pStyle w:val="NoSpacing"/>
        <w:rPr>
          <w:u w:val="single"/>
        </w:rPr>
      </w:pPr>
    </w:p>
    <w:p w14:paraId="3F83971F" w14:textId="0B48085D" w:rsidR="008B62F6" w:rsidRPr="0083257A" w:rsidRDefault="0CC3D87A" w:rsidP="008B62F6">
      <w:pPr>
        <w:pStyle w:val="NoSpacing"/>
        <w:rPr>
          <w:sz w:val="24"/>
          <w:szCs w:val="24"/>
        </w:rPr>
      </w:pPr>
      <w:r w:rsidRPr="14B79C40">
        <w:rPr>
          <w:sz w:val="24"/>
          <w:szCs w:val="24"/>
          <w:u w:val="single"/>
        </w:rPr>
        <w:t>Hypothetical Scenario</w:t>
      </w:r>
      <w:r w:rsidR="008B62F6">
        <w:br/>
      </w:r>
      <w:r w:rsidR="008B62F6">
        <w:br/>
      </w:r>
      <w:r w:rsidRPr="14B79C40">
        <w:rPr>
          <w:sz w:val="24"/>
          <w:szCs w:val="24"/>
        </w:rPr>
        <w:t>The department has adopted a system for Peer Evaluations of Teaching (PET</w:t>
      </w:r>
      <w:r w:rsidR="42014CDD" w:rsidRPr="14B79C40">
        <w:rPr>
          <w:sz w:val="24"/>
          <w:szCs w:val="24"/>
        </w:rPr>
        <w:t>s</w:t>
      </w:r>
      <w:r w:rsidRPr="14B79C40">
        <w:rPr>
          <w:sz w:val="24"/>
          <w:szCs w:val="24"/>
        </w:rPr>
        <w:t>) as part of the annual evaluation process that is to be integrated into the current annual evaluation of teaching, creativity/professional activity, and service. The department</w:t>
      </w:r>
      <w:r w:rsidR="00543774">
        <w:rPr>
          <w:sz w:val="24"/>
          <w:szCs w:val="24"/>
        </w:rPr>
        <w:t>'</w:t>
      </w:r>
      <w:r w:rsidRPr="14B79C40">
        <w:rPr>
          <w:sz w:val="24"/>
          <w:szCs w:val="24"/>
        </w:rPr>
        <w:t>s guidelines state PETs will include evidence from a course (or courses if applicable) that represent the faculty member</w:t>
      </w:r>
      <w:r w:rsidR="00543774">
        <w:rPr>
          <w:sz w:val="24"/>
          <w:szCs w:val="24"/>
        </w:rPr>
        <w:t>'</w:t>
      </w:r>
      <w:r w:rsidRPr="14B79C40">
        <w:rPr>
          <w:sz w:val="24"/>
          <w:szCs w:val="24"/>
        </w:rPr>
        <w:t xml:space="preserve">s primary on-load teaching responsibility. Faculty members will submit as part of their annual report the following </w:t>
      </w:r>
      <w:r w:rsidR="651BE709" w:rsidRPr="14B79C40">
        <w:rPr>
          <w:sz w:val="24"/>
          <w:szCs w:val="24"/>
        </w:rPr>
        <w:t xml:space="preserve">six </w:t>
      </w:r>
      <w:r w:rsidRPr="14B79C40">
        <w:rPr>
          <w:sz w:val="24"/>
          <w:szCs w:val="24"/>
        </w:rPr>
        <w:t>items as their teaching evidence for the PET portion.</w:t>
      </w:r>
    </w:p>
    <w:p w14:paraId="38F2669E" w14:textId="77777777" w:rsidR="008B62F6" w:rsidRPr="008B62F6" w:rsidRDefault="008B62F6" w:rsidP="008B62F6">
      <w:pPr>
        <w:pStyle w:val="NoSpacing"/>
        <w:rPr>
          <w:sz w:val="24"/>
          <w:szCs w:val="24"/>
        </w:rPr>
      </w:pPr>
    </w:p>
    <w:p w14:paraId="0141EB46" w14:textId="77777777" w:rsidR="008B62F6" w:rsidRPr="008B62F6" w:rsidRDefault="008B62F6" w:rsidP="008A17F1">
      <w:pPr>
        <w:pStyle w:val="NoSpacing"/>
        <w:numPr>
          <w:ilvl w:val="0"/>
          <w:numId w:val="35"/>
        </w:numPr>
        <w:rPr>
          <w:sz w:val="24"/>
          <w:szCs w:val="24"/>
        </w:rPr>
      </w:pPr>
      <w:r w:rsidRPr="008B62F6">
        <w:rPr>
          <w:sz w:val="24"/>
          <w:szCs w:val="24"/>
        </w:rPr>
        <w:t>Teaching Load</w:t>
      </w:r>
    </w:p>
    <w:p w14:paraId="58EB8CC2" w14:textId="77777777" w:rsidR="008B62F6" w:rsidRPr="008B62F6" w:rsidRDefault="008B62F6" w:rsidP="008A17F1">
      <w:pPr>
        <w:pStyle w:val="NoSpacing"/>
        <w:numPr>
          <w:ilvl w:val="0"/>
          <w:numId w:val="35"/>
        </w:numPr>
        <w:rPr>
          <w:sz w:val="24"/>
          <w:szCs w:val="24"/>
        </w:rPr>
      </w:pPr>
      <w:r w:rsidRPr="008B62F6">
        <w:rPr>
          <w:sz w:val="24"/>
          <w:szCs w:val="24"/>
        </w:rPr>
        <w:t>Student successes</w:t>
      </w:r>
    </w:p>
    <w:p w14:paraId="5F83CE62" w14:textId="77777777" w:rsidR="008B62F6" w:rsidRPr="008B62F6" w:rsidRDefault="008B62F6" w:rsidP="008A17F1">
      <w:pPr>
        <w:pStyle w:val="NoSpacing"/>
        <w:numPr>
          <w:ilvl w:val="0"/>
          <w:numId w:val="35"/>
        </w:numPr>
        <w:rPr>
          <w:sz w:val="24"/>
          <w:szCs w:val="24"/>
        </w:rPr>
      </w:pPr>
      <w:r w:rsidRPr="008B62F6">
        <w:rPr>
          <w:sz w:val="24"/>
          <w:szCs w:val="24"/>
        </w:rPr>
        <w:t>Student evaluation scores and selected comments</w:t>
      </w:r>
    </w:p>
    <w:p w14:paraId="5E917E16" w14:textId="5E35D79D" w:rsidR="008B62F6" w:rsidRPr="008B62F6" w:rsidRDefault="0CC3D87A" w:rsidP="008A17F1">
      <w:pPr>
        <w:pStyle w:val="NoSpacing"/>
        <w:numPr>
          <w:ilvl w:val="0"/>
          <w:numId w:val="35"/>
        </w:numPr>
        <w:rPr>
          <w:sz w:val="24"/>
          <w:szCs w:val="24"/>
        </w:rPr>
      </w:pPr>
      <w:r w:rsidRPr="14B79C40">
        <w:rPr>
          <w:sz w:val="24"/>
          <w:szCs w:val="24"/>
        </w:rPr>
        <w:t>Course syllabus</w:t>
      </w:r>
      <w:r w:rsidR="68D3CDDC" w:rsidRPr="14B79C40">
        <w:rPr>
          <w:sz w:val="24"/>
          <w:szCs w:val="24"/>
        </w:rPr>
        <w:t>,</w:t>
      </w:r>
      <w:r w:rsidRPr="14B79C40">
        <w:rPr>
          <w:sz w:val="24"/>
          <w:szCs w:val="24"/>
        </w:rPr>
        <w:t xml:space="preserve"> including any supporting materials </w:t>
      </w:r>
      <w:r w:rsidR="68AC08D7" w:rsidRPr="14B79C40">
        <w:rPr>
          <w:sz w:val="24"/>
          <w:szCs w:val="24"/>
        </w:rPr>
        <w:t>such as</w:t>
      </w:r>
      <w:r w:rsidRPr="14B79C40">
        <w:rPr>
          <w:sz w:val="24"/>
          <w:szCs w:val="24"/>
        </w:rPr>
        <w:t xml:space="preserve"> outlined repertoire, student performance goals for recitals, competitions, auditions, or juries and the course site on Canvas where applicable.</w:t>
      </w:r>
    </w:p>
    <w:p w14:paraId="0E9EEED5" w14:textId="6A01D449" w:rsidR="008B62F6" w:rsidRPr="008B62F6" w:rsidRDefault="008B62F6" w:rsidP="008A17F1">
      <w:pPr>
        <w:pStyle w:val="NoSpacing"/>
        <w:numPr>
          <w:ilvl w:val="0"/>
          <w:numId w:val="35"/>
        </w:numPr>
        <w:rPr>
          <w:sz w:val="24"/>
          <w:szCs w:val="24"/>
        </w:rPr>
      </w:pPr>
      <w:r w:rsidRPr="008B62F6">
        <w:rPr>
          <w:sz w:val="24"/>
          <w:szCs w:val="24"/>
        </w:rPr>
        <w:t>One video recorded lesson that illustrates the faculty member</w:t>
      </w:r>
      <w:r w:rsidR="00543774">
        <w:rPr>
          <w:sz w:val="24"/>
          <w:szCs w:val="24"/>
        </w:rPr>
        <w:t>'</w:t>
      </w:r>
      <w:r w:rsidRPr="008B62F6">
        <w:rPr>
          <w:sz w:val="24"/>
          <w:szCs w:val="24"/>
        </w:rPr>
        <w:t xml:space="preserve">s pedagogical approach and effectiveness. </w:t>
      </w:r>
    </w:p>
    <w:p w14:paraId="023D16E2" w14:textId="3DFE9674" w:rsidR="008B62F6" w:rsidRPr="008B62F6" w:rsidRDefault="0CC3D87A" w:rsidP="008A17F1">
      <w:pPr>
        <w:pStyle w:val="NoSpacing"/>
        <w:numPr>
          <w:ilvl w:val="0"/>
          <w:numId w:val="35"/>
        </w:numPr>
        <w:rPr>
          <w:sz w:val="24"/>
          <w:szCs w:val="24"/>
        </w:rPr>
      </w:pPr>
      <w:r w:rsidRPr="14B79C40">
        <w:rPr>
          <w:sz w:val="24"/>
          <w:szCs w:val="24"/>
        </w:rPr>
        <w:t>Reflection summary of the year</w:t>
      </w:r>
      <w:r w:rsidR="00543774">
        <w:rPr>
          <w:sz w:val="24"/>
          <w:szCs w:val="24"/>
        </w:rPr>
        <w:t>'</w:t>
      </w:r>
      <w:r w:rsidRPr="14B79C40">
        <w:rPr>
          <w:sz w:val="24"/>
          <w:szCs w:val="24"/>
        </w:rPr>
        <w:t xml:space="preserve">s teaching successes that focuses on at least three of the six teaching excellence descriptors, selected by the faculty member, a report of any CTLA programs they </w:t>
      </w:r>
      <w:r w:rsidR="4943ECFC" w:rsidRPr="14B79C40">
        <w:rPr>
          <w:sz w:val="24"/>
          <w:szCs w:val="24"/>
        </w:rPr>
        <w:t xml:space="preserve">may have </w:t>
      </w:r>
      <w:r w:rsidRPr="14B79C40">
        <w:rPr>
          <w:sz w:val="24"/>
          <w:szCs w:val="24"/>
        </w:rPr>
        <w:t>participated in to improve their pedagogical competencies, and assessment of learning outcomes they collected for program assessment</w:t>
      </w:r>
    </w:p>
    <w:p w14:paraId="7CA383BC" w14:textId="77777777" w:rsidR="008B62F6" w:rsidRPr="008B62F6" w:rsidRDefault="008B62F6" w:rsidP="008B62F6">
      <w:pPr>
        <w:pStyle w:val="NoSpacing"/>
        <w:rPr>
          <w:sz w:val="24"/>
          <w:szCs w:val="24"/>
          <w:u w:val="single"/>
        </w:rPr>
      </w:pPr>
    </w:p>
    <w:p w14:paraId="264C54EA" w14:textId="77777777" w:rsidR="0083257A" w:rsidRPr="0083257A" w:rsidRDefault="008B62F6" w:rsidP="0083257A">
      <w:pPr>
        <w:pStyle w:val="NoSpacing"/>
        <w:rPr>
          <w:b/>
          <w:bCs/>
          <w:sz w:val="24"/>
          <w:szCs w:val="24"/>
        </w:rPr>
      </w:pPr>
      <w:r w:rsidRPr="008B62F6">
        <w:rPr>
          <w:b/>
          <w:bCs/>
          <w:sz w:val="24"/>
          <w:szCs w:val="24"/>
        </w:rPr>
        <w:t>Steps in the Process</w:t>
      </w:r>
    </w:p>
    <w:p w14:paraId="2801C6E0" w14:textId="7CC2AD2A" w:rsidR="008B62F6" w:rsidRPr="008B62F6" w:rsidRDefault="008B62F6" w:rsidP="008A17F1">
      <w:pPr>
        <w:pStyle w:val="NoSpacing"/>
        <w:numPr>
          <w:ilvl w:val="0"/>
          <w:numId w:val="34"/>
        </w:numPr>
        <w:spacing w:before="120" w:after="120"/>
        <w:rPr>
          <w:sz w:val="24"/>
          <w:szCs w:val="24"/>
        </w:rPr>
      </w:pPr>
      <w:r w:rsidRPr="008B62F6">
        <w:rPr>
          <w:i/>
          <w:iCs/>
          <w:sz w:val="24"/>
          <w:szCs w:val="24"/>
        </w:rPr>
        <w:t>Evaluator Selection and Training</w:t>
      </w:r>
      <w:r w:rsidRPr="008B62F6">
        <w:rPr>
          <w:sz w:val="24"/>
          <w:szCs w:val="24"/>
        </w:rPr>
        <w:t xml:space="preserve">. The department chair meets with the annual evaluation committee to discuss their charge, including PET. Members of the committee vary depending on the faculty </w:t>
      </w:r>
      <w:proofErr w:type="gramStart"/>
      <w:r w:rsidRPr="008B62F6">
        <w:rPr>
          <w:sz w:val="24"/>
          <w:szCs w:val="24"/>
        </w:rPr>
        <w:t>member</w:t>
      </w:r>
      <w:r w:rsidR="00543774">
        <w:rPr>
          <w:sz w:val="24"/>
          <w:szCs w:val="24"/>
        </w:rPr>
        <w:t>'</w:t>
      </w:r>
      <w:r w:rsidRPr="008B62F6">
        <w:rPr>
          <w:sz w:val="24"/>
          <w:szCs w:val="24"/>
        </w:rPr>
        <w:t>s</w:t>
      </w:r>
      <w:proofErr w:type="gramEnd"/>
      <w:r w:rsidRPr="008B62F6">
        <w:rPr>
          <w:sz w:val="24"/>
          <w:szCs w:val="24"/>
        </w:rPr>
        <w:t xml:space="preserve"> divisional area. Each divisional representative will be charged with reviewing the recorded applied lesson submitted by the faculty member. Members are </w:t>
      </w:r>
      <w:proofErr w:type="gramStart"/>
      <w:r w:rsidRPr="008B62F6">
        <w:rPr>
          <w:sz w:val="24"/>
          <w:szCs w:val="24"/>
        </w:rPr>
        <w:t>provided</w:t>
      </w:r>
      <w:proofErr w:type="gramEnd"/>
      <w:r w:rsidRPr="008B62F6">
        <w:rPr>
          <w:sz w:val="24"/>
          <w:szCs w:val="24"/>
        </w:rPr>
        <w:t xml:space="preserve"> access to materials for review prior to the meeting.</w:t>
      </w:r>
    </w:p>
    <w:p w14:paraId="6737486E" w14:textId="77E928A7" w:rsidR="008B62F6" w:rsidRPr="008B62F6" w:rsidRDefault="008B62F6" w:rsidP="008A17F1">
      <w:pPr>
        <w:pStyle w:val="NoSpacing"/>
        <w:numPr>
          <w:ilvl w:val="0"/>
          <w:numId w:val="34"/>
        </w:numPr>
        <w:spacing w:before="120" w:after="120"/>
        <w:rPr>
          <w:sz w:val="24"/>
          <w:szCs w:val="24"/>
        </w:rPr>
      </w:pPr>
      <w:r w:rsidRPr="008B62F6">
        <w:rPr>
          <w:i/>
          <w:iCs/>
          <w:sz w:val="24"/>
          <w:szCs w:val="24"/>
        </w:rPr>
        <w:t>Faculty Input and Goal Setting</w:t>
      </w:r>
      <w:r w:rsidRPr="008B62F6">
        <w:rPr>
          <w:sz w:val="24"/>
          <w:szCs w:val="24"/>
        </w:rPr>
        <w:t>. Not applicable; PET guidelines already establish faculty input and goals.</w:t>
      </w:r>
    </w:p>
    <w:p w14:paraId="4EE2819F" w14:textId="46C97A6A" w:rsidR="008B62F6" w:rsidRPr="008B62F6" w:rsidRDefault="008B62F6" w:rsidP="008A17F1">
      <w:pPr>
        <w:pStyle w:val="NoSpacing"/>
        <w:numPr>
          <w:ilvl w:val="0"/>
          <w:numId w:val="34"/>
        </w:numPr>
        <w:spacing w:before="120" w:after="120"/>
        <w:rPr>
          <w:sz w:val="24"/>
          <w:szCs w:val="24"/>
        </w:rPr>
      </w:pPr>
      <w:r w:rsidRPr="008B62F6">
        <w:rPr>
          <w:i/>
          <w:iCs/>
          <w:sz w:val="24"/>
          <w:szCs w:val="24"/>
        </w:rPr>
        <w:t>Evidence Collection</w:t>
      </w:r>
      <w:r w:rsidRPr="008B62F6">
        <w:rPr>
          <w:sz w:val="24"/>
          <w:szCs w:val="24"/>
        </w:rPr>
        <w:t xml:space="preserve">. All evidence items are to be contained on OneDrive in a folder that will be accessible to the annual review committee. For probationary faculty, accessing information (link) to the folder along with the annual report must be provided to the director by the end of the first week of November. For </w:t>
      </w:r>
      <w:proofErr w:type="gramStart"/>
      <w:r w:rsidRPr="008B62F6">
        <w:rPr>
          <w:sz w:val="24"/>
          <w:szCs w:val="24"/>
        </w:rPr>
        <w:t>tenured</w:t>
      </w:r>
      <w:proofErr w:type="gramEnd"/>
      <w:r w:rsidRPr="008B62F6">
        <w:rPr>
          <w:sz w:val="24"/>
          <w:szCs w:val="24"/>
        </w:rPr>
        <w:t xml:space="preserve"> faculty, access must be provided by the end of the first week of December.</w:t>
      </w:r>
    </w:p>
    <w:p w14:paraId="62938C8C" w14:textId="3A6A1624" w:rsidR="008B62F6" w:rsidRPr="008B62F6" w:rsidRDefault="008B62F6" w:rsidP="008A17F1">
      <w:pPr>
        <w:pStyle w:val="NoSpacing"/>
        <w:numPr>
          <w:ilvl w:val="0"/>
          <w:numId w:val="34"/>
        </w:numPr>
        <w:spacing w:before="120" w:after="120"/>
        <w:rPr>
          <w:sz w:val="24"/>
          <w:szCs w:val="24"/>
        </w:rPr>
      </w:pPr>
      <w:r w:rsidRPr="008B62F6">
        <w:rPr>
          <w:i/>
          <w:iCs/>
          <w:sz w:val="24"/>
          <w:szCs w:val="24"/>
        </w:rPr>
        <w:t>Evaluation</w:t>
      </w:r>
      <w:r w:rsidRPr="008B62F6">
        <w:rPr>
          <w:sz w:val="24"/>
          <w:szCs w:val="24"/>
        </w:rPr>
        <w:t>. The annual evaluation committee reviews the PET submitted materials as part of their annual evaluation process.</w:t>
      </w:r>
    </w:p>
    <w:p w14:paraId="5183C441" w14:textId="64138854" w:rsidR="008B62F6" w:rsidRDefault="008B62F6" w:rsidP="008A17F1">
      <w:pPr>
        <w:pStyle w:val="NoSpacing"/>
        <w:numPr>
          <w:ilvl w:val="0"/>
          <w:numId w:val="34"/>
        </w:numPr>
        <w:spacing w:before="120" w:after="120"/>
        <w:rPr>
          <w:sz w:val="24"/>
          <w:szCs w:val="24"/>
        </w:rPr>
      </w:pPr>
      <w:r w:rsidRPr="008B62F6">
        <w:rPr>
          <w:i/>
          <w:iCs/>
          <w:sz w:val="24"/>
          <w:szCs w:val="24"/>
        </w:rPr>
        <w:t>Written Report</w:t>
      </w:r>
      <w:r w:rsidRPr="008B62F6">
        <w:rPr>
          <w:sz w:val="24"/>
          <w:szCs w:val="24"/>
        </w:rPr>
        <w:t xml:space="preserve">. The director prepares a written evaluation report/score, based on feedback from the review committee, that includes a description of the evidence evaluated, </w:t>
      </w:r>
      <w:r w:rsidRPr="008B62F6">
        <w:rPr>
          <w:sz w:val="24"/>
          <w:szCs w:val="24"/>
        </w:rPr>
        <w:lastRenderedPageBreak/>
        <w:t xml:space="preserve">assessments of teaching excellence based on selected criteria, and constructive, respectful feedback focused on professional development in teaching, learning, and/or assessment. The report is sent to the faculty member by the end of the first week of spring semester. After </w:t>
      </w:r>
      <w:proofErr w:type="gramStart"/>
      <w:r w:rsidRPr="008B62F6">
        <w:rPr>
          <w:sz w:val="24"/>
          <w:szCs w:val="24"/>
        </w:rPr>
        <w:t>receipt of</w:t>
      </w:r>
      <w:proofErr w:type="gramEnd"/>
      <w:r w:rsidRPr="008B62F6">
        <w:rPr>
          <w:sz w:val="24"/>
          <w:szCs w:val="24"/>
        </w:rPr>
        <w:t xml:space="preserve"> the report, faculty members </w:t>
      </w:r>
      <w:r w:rsidR="00FA1865">
        <w:rPr>
          <w:sz w:val="24"/>
          <w:szCs w:val="24"/>
        </w:rPr>
        <w:t>are</w:t>
      </w:r>
      <w:r w:rsidRPr="008B62F6">
        <w:rPr>
          <w:sz w:val="24"/>
          <w:szCs w:val="24"/>
        </w:rPr>
        <w:t xml:space="preserve"> given the option to schedule a one-on-one meeting to discuss their annual evaluation.</w:t>
      </w:r>
    </w:p>
    <w:p w14:paraId="249F09DF" w14:textId="77777777" w:rsidR="0083257A" w:rsidRPr="008B62F6" w:rsidRDefault="0083257A" w:rsidP="008B62F6">
      <w:pPr>
        <w:pStyle w:val="NoSpacing"/>
        <w:rPr>
          <w:sz w:val="24"/>
          <w:szCs w:val="24"/>
        </w:rPr>
      </w:pPr>
    </w:p>
    <w:p w14:paraId="470CD2F2" w14:textId="77777777" w:rsidR="008B62F6" w:rsidRPr="008B62F6" w:rsidRDefault="008B62F6" w:rsidP="008B62F6">
      <w:pPr>
        <w:pStyle w:val="NoSpacing"/>
        <w:rPr>
          <w:sz w:val="24"/>
          <w:szCs w:val="24"/>
        </w:rPr>
      </w:pPr>
      <w:r w:rsidRPr="008B62F6">
        <w:rPr>
          <w:b/>
          <w:bCs/>
          <w:sz w:val="24"/>
          <w:szCs w:val="24"/>
        </w:rPr>
        <w:t>Documentation / Record Keeping</w:t>
      </w:r>
      <w:r w:rsidRPr="008B62F6">
        <w:rPr>
          <w:sz w:val="24"/>
          <w:szCs w:val="24"/>
        </w:rPr>
        <w:br/>
        <w:t>Per college policy, the department chair retains a record of the annual evaluation and the date the evaluation was completed.</w:t>
      </w:r>
    </w:p>
    <w:p w14:paraId="0DA0A4F1" w14:textId="77777777" w:rsidR="001F792A" w:rsidRDefault="001F792A" w:rsidP="00315AE1">
      <w:pPr>
        <w:pStyle w:val="NoSpacing"/>
        <w:rPr>
          <w:sz w:val="24"/>
          <w:szCs w:val="24"/>
        </w:rPr>
      </w:pPr>
    </w:p>
    <w:p w14:paraId="2E7D84A5" w14:textId="77777777" w:rsidR="0083257A" w:rsidRDefault="0083257A">
      <w:pPr>
        <w:rPr>
          <w:b/>
          <w:bCs/>
          <w:sz w:val="32"/>
          <w:szCs w:val="32"/>
        </w:rPr>
      </w:pPr>
      <w:r>
        <w:rPr>
          <w:b/>
          <w:bCs/>
          <w:sz w:val="32"/>
          <w:szCs w:val="32"/>
        </w:rPr>
        <w:br w:type="page"/>
      </w:r>
    </w:p>
    <w:p w14:paraId="31CF1EE6" w14:textId="15166F9C" w:rsidR="0083257A" w:rsidRDefault="0083257A" w:rsidP="0083257A">
      <w:pPr>
        <w:pStyle w:val="IntenseQuote"/>
      </w:pPr>
      <w:r>
        <w:lastRenderedPageBreak/>
        <w:t>Example</w:t>
      </w:r>
      <w:r w:rsidR="0041162A">
        <w:t xml:space="preserve"> 6</w:t>
      </w:r>
      <w:r>
        <w:t xml:space="preserve">: </w:t>
      </w:r>
    </w:p>
    <w:p w14:paraId="3D8DE07E" w14:textId="2056823D" w:rsidR="0083257A" w:rsidRPr="0083257A" w:rsidRDefault="0083257A" w:rsidP="0083257A">
      <w:pPr>
        <w:pStyle w:val="IntenseQuote"/>
      </w:pPr>
      <w:r w:rsidRPr="0083257A">
        <w:t>An Interdisciplinary College with Collaborative Teaching</w:t>
      </w:r>
    </w:p>
    <w:p w14:paraId="7B1C882D" w14:textId="77777777" w:rsidR="0083257A" w:rsidRDefault="0083257A" w:rsidP="0083257A">
      <w:pPr>
        <w:rPr>
          <w:b/>
          <w:bCs/>
          <w:sz w:val="32"/>
          <w:szCs w:val="32"/>
        </w:rPr>
      </w:pPr>
    </w:p>
    <w:p w14:paraId="06EA164C" w14:textId="52BB6B9F" w:rsidR="0083257A" w:rsidRDefault="0083257A" w:rsidP="0083257A">
      <w:pPr>
        <w:spacing w:after="0" w:line="240" w:lineRule="auto"/>
        <w:rPr>
          <w:b/>
          <w:bCs/>
          <w:sz w:val="24"/>
          <w:szCs w:val="24"/>
        </w:rPr>
      </w:pPr>
      <w:r w:rsidRPr="0083257A">
        <w:rPr>
          <w:b/>
          <w:bCs/>
          <w:sz w:val="24"/>
          <w:szCs w:val="24"/>
        </w:rPr>
        <w:t>Hypothetical Scenario</w:t>
      </w:r>
    </w:p>
    <w:p w14:paraId="48A9D79D" w14:textId="77777777" w:rsidR="0083257A" w:rsidRPr="0083257A" w:rsidRDefault="0083257A" w:rsidP="0083257A">
      <w:pPr>
        <w:spacing w:after="0" w:line="240" w:lineRule="auto"/>
        <w:rPr>
          <w:sz w:val="24"/>
          <w:szCs w:val="24"/>
        </w:rPr>
      </w:pPr>
    </w:p>
    <w:p w14:paraId="5D6610E3" w14:textId="77777777" w:rsidR="0083257A" w:rsidRPr="0083257A" w:rsidRDefault="0083257A" w:rsidP="0083257A">
      <w:pPr>
        <w:spacing w:after="0" w:line="240" w:lineRule="auto"/>
        <w:rPr>
          <w:sz w:val="24"/>
          <w:szCs w:val="24"/>
          <w:u w:val="single"/>
        </w:rPr>
      </w:pPr>
      <w:r w:rsidRPr="0083257A">
        <w:rPr>
          <w:sz w:val="24"/>
          <w:szCs w:val="24"/>
          <w:u w:val="single"/>
        </w:rPr>
        <w:t>College Requirements and Process</w:t>
      </w:r>
    </w:p>
    <w:p w14:paraId="2FA2C5E8" w14:textId="77777777" w:rsidR="0083257A" w:rsidRDefault="0083257A" w:rsidP="0083257A">
      <w:pPr>
        <w:spacing w:after="0" w:line="240" w:lineRule="auto"/>
        <w:rPr>
          <w:sz w:val="24"/>
          <w:szCs w:val="24"/>
        </w:rPr>
      </w:pPr>
      <w:r w:rsidRPr="0083257A">
        <w:rPr>
          <w:sz w:val="24"/>
          <w:szCs w:val="24"/>
        </w:rPr>
        <w:t>The college requires peer evaluation of teaching that accommodates its interdisciplinary nature and emphasis on collaborative pedagogy. Given the college's structure of interdisciplinary departments and frequent team-taught courses, peer evaluations are conducted at the college level with evaluators selected based on disciplinary alignment and/or shared pedagogical approaches rather than departmental affiliation.</w:t>
      </w:r>
    </w:p>
    <w:p w14:paraId="42592C61" w14:textId="77777777" w:rsidR="0083257A" w:rsidRPr="0083257A" w:rsidRDefault="0083257A" w:rsidP="0083257A">
      <w:pPr>
        <w:spacing w:after="0" w:line="240" w:lineRule="auto"/>
        <w:rPr>
          <w:sz w:val="24"/>
          <w:szCs w:val="24"/>
        </w:rPr>
      </w:pPr>
    </w:p>
    <w:p w14:paraId="128F2F46" w14:textId="77777777" w:rsidR="0083257A" w:rsidRDefault="0083257A" w:rsidP="0083257A">
      <w:pPr>
        <w:spacing w:after="0" w:line="240" w:lineRule="auto"/>
        <w:rPr>
          <w:sz w:val="24"/>
          <w:szCs w:val="24"/>
        </w:rPr>
      </w:pPr>
      <w:r w:rsidRPr="0083257A">
        <w:rPr>
          <w:sz w:val="24"/>
          <w:szCs w:val="24"/>
        </w:rPr>
        <w:t>Each year, the college identifies faculty who will serve as peer evaluators, organizing them into disciplinary clusters (e.g., basic sciences education, clinical education, STEM education, humanities pedagogy, social science methods, creative arts instruction) and pedagogical approach groups (e.g., problem-based learning, community-engaged learning, digital pedagogy, collaborative learning). Faculty members are matched with evaluators from their most relevant cluster or approach group.</w:t>
      </w:r>
    </w:p>
    <w:p w14:paraId="5BE0878B" w14:textId="77777777" w:rsidR="00FA1865" w:rsidRPr="0083257A" w:rsidRDefault="00FA1865" w:rsidP="0083257A">
      <w:pPr>
        <w:spacing w:after="0" w:line="240" w:lineRule="auto"/>
        <w:rPr>
          <w:sz w:val="24"/>
          <w:szCs w:val="24"/>
        </w:rPr>
      </w:pPr>
    </w:p>
    <w:p w14:paraId="1A1549AD" w14:textId="77777777" w:rsidR="0083257A" w:rsidRDefault="0083257A" w:rsidP="0083257A">
      <w:pPr>
        <w:spacing w:after="0" w:line="240" w:lineRule="auto"/>
        <w:rPr>
          <w:sz w:val="24"/>
          <w:szCs w:val="24"/>
        </w:rPr>
      </w:pPr>
      <w:r w:rsidRPr="0083257A">
        <w:rPr>
          <w:sz w:val="24"/>
          <w:szCs w:val="24"/>
        </w:rPr>
        <w:t>At the beginning of each academic year, faculty serving as peer evaluators attend a two-hour orientation meeting with CTLA/OFLA staff. The orientation covers evaluation processes, tools, teaching excellence criteria, and bias mitigation strategies, with special attention to evaluating interdisciplinary and collaborative teaching.</w:t>
      </w:r>
    </w:p>
    <w:p w14:paraId="3A663345" w14:textId="77777777" w:rsidR="0083257A" w:rsidRPr="0083257A" w:rsidRDefault="0083257A" w:rsidP="0083257A">
      <w:pPr>
        <w:spacing w:after="0" w:line="240" w:lineRule="auto"/>
        <w:rPr>
          <w:sz w:val="24"/>
          <w:szCs w:val="24"/>
        </w:rPr>
      </w:pPr>
    </w:p>
    <w:p w14:paraId="3DB842FF" w14:textId="77777777" w:rsidR="0083257A" w:rsidRPr="0083257A" w:rsidRDefault="0083257A" w:rsidP="0083257A">
      <w:pPr>
        <w:spacing w:after="0" w:line="240" w:lineRule="auto"/>
        <w:rPr>
          <w:sz w:val="24"/>
          <w:szCs w:val="24"/>
          <w:u w:val="single"/>
        </w:rPr>
      </w:pPr>
      <w:r w:rsidRPr="0083257A">
        <w:rPr>
          <w:sz w:val="24"/>
          <w:szCs w:val="24"/>
          <w:u w:val="single"/>
        </w:rPr>
        <w:t>College Committee Structure</w:t>
      </w:r>
    </w:p>
    <w:p w14:paraId="60EEFF9C" w14:textId="77777777" w:rsidR="0083257A" w:rsidRDefault="0083257A" w:rsidP="0083257A">
      <w:pPr>
        <w:spacing w:after="0" w:line="240" w:lineRule="auto"/>
        <w:rPr>
          <w:sz w:val="24"/>
          <w:szCs w:val="24"/>
        </w:rPr>
      </w:pPr>
      <w:r w:rsidRPr="0083257A">
        <w:rPr>
          <w:sz w:val="24"/>
          <w:szCs w:val="24"/>
        </w:rPr>
        <w:t>The college has established a Peer Evaluation of Teaching (PET) Committee system that requires evaluation of each faculty member once every three years. Rather than departmental committees, the college uses discipline/pedagogy-aligned evaluation panels.</w:t>
      </w:r>
    </w:p>
    <w:p w14:paraId="3B4E373C" w14:textId="77777777" w:rsidR="0083257A" w:rsidRPr="0083257A" w:rsidRDefault="0083257A" w:rsidP="0083257A">
      <w:pPr>
        <w:spacing w:after="0" w:line="240" w:lineRule="auto"/>
        <w:rPr>
          <w:sz w:val="24"/>
          <w:szCs w:val="24"/>
        </w:rPr>
      </w:pPr>
    </w:p>
    <w:p w14:paraId="4BD0EEBE" w14:textId="77777777" w:rsidR="0083257A" w:rsidRPr="00EC696E" w:rsidRDefault="0083257A" w:rsidP="0083257A">
      <w:pPr>
        <w:spacing w:after="0" w:line="240" w:lineRule="auto"/>
        <w:rPr>
          <w:sz w:val="24"/>
          <w:szCs w:val="24"/>
        </w:rPr>
      </w:pPr>
      <w:r w:rsidRPr="00EC696E">
        <w:rPr>
          <w:sz w:val="24"/>
          <w:szCs w:val="24"/>
        </w:rPr>
        <w:t>Each evaluation panel consists of three faculty members:</w:t>
      </w:r>
    </w:p>
    <w:p w14:paraId="2963DE85" w14:textId="77777777" w:rsidR="0083257A" w:rsidRPr="004133B5" w:rsidRDefault="023FD2D1" w:rsidP="004133B5">
      <w:pPr>
        <w:pStyle w:val="ListParagraph"/>
        <w:numPr>
          <w:ilvl w:val="0"/>
          <w:numId w:val="41"/>
        </w:numPr>
        <w:spacing w:after="0" w:line="240" w:lineRule="auto"/>
        <w:rPr>
          <w:sz w:val="24"/>
          <w:szCs w:val="24"/>
        </w:rPr>
      </w:pPr>
      <w:r w:rsidRPr="14B79C40">
        <w:rPr>
          <w:sz w:val="24"/>
          <w:szCs w:val="24"/>
        </w:rPr>
        <w:t>One faculty member from a related discipline or with similar pedagogical expertise</w:t>
      </w:r>
    </w:p>
    <w:p w14:paraId="775C5294" w14:textId="77777777" w:rsidR="0083257A" w:rsidRPr="004133B5" w:rsidRDefault="0083257A" w:rsidP="004133B5">
      <w:pPr>
        <w:pStyle w:val="ListParagraph"/>
        <w:numPr>
          <w:ilvl w:val="0"/>
          <w:numId w:val="41"/>
        </w:numPr>
        <w:spacing w:after="0" w:line="240" w:lineRule="auto"/>
        <w:rPr>
          <w:sz w:val="24"/>
          <w:szCs w:val="24"/>
        </w:rPr>
      </w:pPr>
      <w:r w:rsidRPr="004133B5">
        <w:rPr>
          <w:sz w:val="24"/>
          <w:szCs w:val="24"/>
        </w:rPr>
        <w:t>One faculty member experienced in collaborative or team teaching</w:t>
      </w:r>
    </w:p>
    <w:p w14:paraId="2BD8F5CC" w14:textId="0E4326B9" w:rsidR="0083257A" w:rsidRPr="004133B5" w:rsidRDefault="023FD2D1" w:rsidP="004133B5">
      <w:pPr>
        <w:pStyle w:val="ListParagraph"/>
        <w:numPr>
          <w:ilvl w:val="0"/>
          <w:numId w:val="41"/>
        </w:numPr>
        <w:spacing w:after="0" w:line="240" w:lineRule="auto"/>
        <w:rPr>
          <w:sz w:val="24"/>
          <w:szCs w:val="24"/>
        </w:rPr>
      </w:pPr>
      <w:r w:rsidRPr="14B79C40">
        <w:rPr>
          <w:sz w:val="24"/>
          <w:szCs w:val="24"/>
        </w:rPr>
        <w:t>One faculty member from the college's Teaching Excellence Fellows program or with significant teaching experience relevant to the college</w:t>
      </w:r>
      <w:r w:rsidR="00543774">
        <w:rPr>
          <w:sz w:val="24"/>
          <w:szCs w:val="24"/>
        </w:rPr>
        <w:t>'</w:t>
      </w:r>
      <w:r w:rsidRPr="14B79C40">
        <w:rPr>
          <w:sz w:val="24"/>
          <w:szCs w:val="24"/>
        </w:rPr>
        <w:t>s unique modalities</w:t>
      </w:r>
    </w:p>
    <w:p w14:paraId="06CC16DC" w14:textId="77777777" w:rsidR="0083257A" w:rsidRDefault="0083257A" w:rsidP="0083257A">
      <w:pPr>
        <w:spacing w:after="0" w:line="240" w:lineRule="auto"/>
        <w:rPr>
          <w:b/>
          <w:bCs/>
          <w:sz w:val="24"/>
          <w:szCs w:val="24"/>
        </w:rPr>
      </w:pPr>
    </w:p>
    <w:p w14:paraId="3D5A5AAB" w14:textId="42A9CA8B" w:rsidR="0083257A" w:rsidRPr="0083257A" w:rsidRDefault="0083257A" w:rsidP="0083257A">
      <w:pPr>
        <w:spacing w:after="0" w:line="240" w:lineRule="auto"/>
        <w:rPr>
          <w:sz w:val="24"/>
          <w:szCs w:val="24"/>
          <w:u w:val="single"/>
        </w:rPr>
      </w:pPr>
      <w:r w:rsidRPr="0083257A">
        <w:rPr>
          <w:sz w:val="24"/>
          <w:szCs w:val="24"/>
          <w:u w:val="single"/>
        </w:rPr>
        <w:t>College Requirements</w:t>
      </w:r>
    </w:p>
    <w:p w14:paraId="4E551781" w14:textId="77777777" w:rsidR="0083257A" w:rsidRPr="0083257A" w:rsidRDefault="0083257A" w:rsidP="0083257A">
      <w:pPr>
        <w:spacing w:after="0" w:line="240" w:lineRule="auto"/>
        <w:rPr>
          <w:sz w:val="24"/>
          <w:szCs w:val="24"/>
        </w:rPr>
      </w:pPr>
      <w:r w:rsidRPr="0083257A">
        <w:rPr>
          <w:sz w:val="24"/>
          <w:szCs w:val="24"/>
        </w:rPr>
        <w:t>The college's guidelines state that faculty evaluations should:</w:t>
      </w:r>
    </w:p>
    <w:p w14:paraId="31739159" w14:textId="77777777" w:rsidR="0083257A" w:rsidRPr="0083257A" w:rsidRDefault="0083257A" w:rsidP="008A17F1">
      <w:pPr>
        <w:pStyle w:val="ListParagraph"/>
        <w:numPr>
          <w:ilvl w:val="0"/>
          <w:numId w:val="36"/>
        </w:numPr>
        <w:spacing w:after="0" w:line="240" w:lineRule="auto"/>
        <w:contextualSpacing w:val="0"/>
        <w:rPr>
          <w:sz w:val="24"/>
          <w:szCs w:val="24"/>
        </w:rPr>
      </w:pPr>
      <w:r w:rsidRPr="0083257A">
        <w:rPr>
          <w:sz w:val="24"/>
          <w:szCs w:val="24"/>
        </w:rPr>
        <w:t>Include evidence from 1-3 courses or collaborative teaching experiences that represent the range and diversity of the faculty member's teaching responsibilities (note: multiple courses/experiences should only be used when necessary to adequately represent teaching diversity; evidence should be kept to the minimum needed for a streamlined and representative rather than exhaustive evaluation)</w:t>
      </w:r>
    </w:p>
    <w:p w14:paraId="399BC2DF" w14:textId="77777777" w:rsidR="0083257A" w:rsidRPr="0083257A" w:rsidRDefault="0083257A" w:rsidP="008A17F1">
      <w:pPr>
        <w:pStyle w:val="ListParagraph"/>
        <w:numPr>
          <w:ilvl w:val="0"/>
          <w:numId w:val="36"/>
        </w:numPr>
        <w:spacing w:after="0" w:line="240" w:lineRule="auto"/>
        <w:contextualSpacing w:val="0"/>
        <w:rPr>
          <w:sz w:val="24"/>
          <w:szCs w:val="24"/>
        </w:rPr>
      </w:pPr>
      <w:r w:rsidRPr="0083257A">
        <w:rPr>
          <w:sz w:val="24"/>
          <w:szCs w:val="24"/>
        </w:rPr>
        <w:t>Select the courses/experiences through agreement between the faculty member and their assigned evaluation panel</w:t>
      </w:r>
    </w:p>
    <w:p w14:paraId="278FC00D" w14:textId="77777777" w:rsidR="0083257A" w:rsidRPr="0083257A" w:rsidRDefault="0083257A" w:rsidP="008A17F1">
      <w:pPr>
        <w:pStyle w:val="ListParagraph"/>
        <w:numPr>
          <w:ilvl w:val="0"/>
          <w:numId w:val="36"/>
        </w:numPr>
        <w:spacing w:after="0" w:line="240" w:lineRule="auto"/>
        <w:contextualSpacing w:val="0"/>
        <w:rPr>
          <w:sz w:val="24"/>
          <w:szCs w:val="24"/>
        </w:rPr>
      </w:pPr>
      <w:r w:rsidRPr="0083257A">
        <w:rPr>
          <w:sz w:val="24"/>
          <w:szCs w:val="24"/>
        </w:rPr>
        <w:lastRenderedPageBreak/>
        <w:t>Include evidence from at least two different sources for each criterion evaluated, selected by the faculty member from a predetermined list</w:t>
      </w:r>
    </w:p>
    <w:p w14:paraId="50C780CC" w14:textId="77777777" w:rsidR="0083257A" w:rsidRPr="0083257A" w:rsidRDefault="0083257A" w:rsidP="008A17F1">
      <w:pPr>
        <w:pStyle w:val="ListParagraph"/>
        <w:numPr>
          <w:ilvl w:val="0"/>
          <w:numId w:val="36"/>
        </w:numPr>
        <w:spacing w:after="0" w:line="240" w:lineRule="auto"/>
        <w:contextualSpacing w:val="0"/>
        <w:rPr>
          <w:sz w:val="24"/>
          <w:szCs w:val="24"/>
        </w:rPr>
      </w:pPr>
      <w:r w:rsidRPr="0083257A">
        <w:rPr>
          <w:sz w:val="24"/>
          <w:szCs w:val="24"/>
        </w:rPr>
        <w:t>Focus on two teaching excellence criteria chosen by the faculty member from the college's interdisciplinary teaching framework</w:t>
      </w:r>
    </w:p>
    <w:p w14:paraId="10A4F64B" w14:textId="77777777" w:rsidR="0083257A" w:rsidRPr="0083257A" w:rsidRDefault="0083257A" w:rsidP="008A17F1">
      <w:pPr>
        <w:pStyle w:val="ListParagraph"/>
        <w:numPr>
          <w:ilvl w:val="0"/>
          <w:numId w:val="36"/>
        </w:numPr>
        <w:spacing w:after="0" w:line="240" w:lineRule="auto"/>
        <w:contextualSpacing w:val="0"/>
        <w:rPr>
          <w:sz w:val="24"/>
          <w:szCs w:val="24"/>
        </w:rPr>
      </w:pPr>
      <w:r w:rsidRPr="0083257A">
        <w:rPr>
          <w:sz w:val="24"/>
          <w:szCs w:val="24"/>
        </w:rPr>
        <w:t>Address 2-3 specific goals identified by the faculty member, with constructive feedback on growth opportunities</w:t>
      </w:r>
    </w:p>
    <w:p w14:paraId="02D40615" w14:textId="77777777" w:rsidR="0083257A" w:rsidRDefault="0083257A" w:rsidP="0083257A">
      <w:pPr>
        <w:spacing w:after="0" w:line="240" w:lineRule="auto"/>
        <w:rPr>
          <w:b/>
          <w:bCs/>
          <w:sz w:val="24"/>
          <w:szCs w:val="24"/>
        </w:rPr>
      </w:pPr>
    </w:p>
    <w:p w14:paraId="2389491B" w14:textId="07708612" w:rsidR="0083257A" w:rsidRPr="0083257A" w:rsidRDefault="0083257A" w:rsidP="0083257A">
      <w:pPr>
        <w:spacing w:after="0" w:line="240" w:lineRule="auto"/>
        <w:rPr>
          <w:sz w:val="24"/>
          <w:szCs w:val="24"/>
          <w:u w:val="single"/>
        </w:rPr>
      </w:pPr>
      <w:r w:rsidRPr="0083257A">
        <w:rPr>
          <w:sz w:val="24"/>
          <w:szCs w:val="24"/>
          <w:u w:val="single"/>
        </w:rPr>
        <w:t>Sample Faculty Member</w:t>
      </w:r>
    </w:p>
    <w:p w14:paraId="64C64A94" w14:textId="77777777" w:rsidR="0083257A" w:rsidRPr="0083257A" w:rsidRDefault="0083257A" w:rsidP="0083257A">
      <w:pPr>
        <w:spacing w:after="0" w:line="240" w:lineRule="auto"/>
        <w:rPr>
          <w:sz w:val="24"/>
          <w:szCs w:val="24"/>
        </w:rPr>
      </w:pPr>
      <w:r w:rsidRPr="0083257A">
        <w:rPr>
          <w:sz w:val="24"/>
          <w:szCs w:val="24"/>
        </w:rPr>
        <w:t>The faculty member scheduled for evaluation teaches in an interdisciplinary program and frequently participates in team-taught courses. The criteria chosen for evaluation are collaborative pedagogy and interdisciplinary integration. The faculty member's goals focus on improving student engagement across disciplinary boundaries and developing more effective co-teaching strategies.</w:t>
      </w:r>
    </w:p>
    <w:p w14:paraId="04F2485B" w14:textId="77777777" w:rsidR="0083257A" w:rsidRDefault="0083257A" w:rsidP="0083257A">
      <w:pPr>
        <w:spacing w:after="0" w:line="240" w:lineRule="auto"/>
        <w:rPr>
          <w:b/>
          <w:bCs/>
          <w:sz w:val="24"/>
          <w:szCs w:val="24"/>
        </w:rPr>
      </w:pPr>
    </w:p>
    <w:p w14:paraId="2627EB54" w14:textId="1AFA072F" w:rsidR="0083257A" w:rsidRPr="0083257A" w:rsidRDefault="0083257A" w:rsidP="0083257A">
      <w:pPr>
        <w:spacing w:after="0" w:line="240" w:lineRule="auto"/>
        <w:rPr>
          <w:b/>
          <w:bCs/>
          <w:sz w:val="24"/>
          <w:szCs w:val="24"/>
        </w:rPr>
      </w:pPr>
      <w:r w:rsidRPr="0083257A">
        <w:rPr>
          <w:b/>
          <w:bCs/>
          <w:sz w:val="24"/>
          <w:szCs w:val="24"/>
        </w:rPr>
        <w:t>Steps in the Process</w:t>
      </w:r>
    </w:p>
    <w:p w14:paraId="647BCE01" w14:textId="77777777" w:rsidR="0083257A" w:rsidRPr="0083257A" w:rsidRDefault="0083257A" w:rsidP="008A17F1">
      <w:pPr>
        <w:pStyle w:val="ListParagraph"/>
        <w:numPr>
          <w:ilvl w:val="0"/>
          <w:numId w:val="37"/>
        </w:numPr>
        <w:spacing w:before="120" w:after="120" w:line="240" w:lineRule="auto"/>
        <w:contextualSpacing w:val="0"/>
        <w:rPr>
          <w:sz w:val="24"/>
          <w:szCs w:val="24"/>
        </w:rPr>
      </w:pPr>
      <w:r w:rsidRPr="0083257A">
        <w:rPr>
          <w:i/>
          <w:iCs/>
          <w:sz w:val="24"/>
          <w:szCs w:val="24"/>
        </w:rPr>
        <w:t>Evaluator Selection and Training</w:t>
      </w:r>
      <w:r w:rsidRPr="0083257A">
        <w:rPr>
          <w:sz w:val="24"/>
          <w:szCs w:val="24"/>
        </w:rPr>
        <w:t>. The college assigns the faculty member to an evaluation panel based on disciplinary/pedagogical alignment. All panel members attend CTLA/OFLA training focused on interdisciplinary and collaborative teaching evaluation.</w:t>
      </w:r>
    </w:p>
    <w:p w14:paraId="7C9AEA0E" w14:textId="77777777" w:rsidR="0083257A" w:rsidRPr="0083257A" w:rsidRDefault="0083257A" w:rsidP="008A17F1">
      <w:pPr>
        <w:pStyle w:val="ListParagraph"/>
        <w:numPr>
          <w:ilvl w:val="0"/>
          <w:numId w:val="37"/>
        </w:numPr>
        <w:spacing w:before="120" w:after="120" w:line="240" w:lineRule="auto"/>
        <w:contextualSpacing w:val="0"/>
        <w:rPr>
          <w:sz w:val="24"/>
          <w:szCs w:val="24"/>
        </w:rPr>
      </w:pPr>
      <w:r w:rsidRPr="0083257A">
        <w:rPr>
          <w:i/>
          <w:iCs/>
          <w:sz w:val="24"/>
          <w:szCs w:val="24"/>
        </w:rPr>
        <w:t>Faculty Input and Goal Setting</w:t>
      </w:r>
      <w:r w:rsidRPr="0083257A">
        <w:rPr>
          <w:sz w:val="24"/>
          <w:szCs w:val="24"/>
        </w:rPr>
        <w:t>. By October 1, the faculty member informs their evaluation panel of the evaluation foci (collaborative pedagogy and interdisciplinary integration), their preferred course for evaluation (a team-taught interdisciplinary seminar), their proposed evidence (course materials, co-teaching reflection, and student feedback on collaborative elements), and their three primary goals.</w:t>
      </w:r>
    </w:p>
    <w:p w14:paraId="5E12184A" w14:textId="3C12077D" w:rsidR="0083257A" w:rsidRPr="0083257A" w:rsidRDefault="023FD2D1" w:rsidP="14B79C40">
      <w:pPr>
        <w:pStyle w:val="ListParagraph"/>
        <w:numPr>
          <w:ilvl w:val="0"/>
          <w:numId w:val="37"/>
        </w:numPr>
        <w:spacing w:before="120" w:after="120" w:line="240" w:lineRule="auto"/>
        <w:rPr>
          <w:sz w:val="24"/>
          <w:szCs w:val="24"/>
        </w:rPr>
      </w:pPr>
      <w:r w:rsidRPr="14B79C40">
        <w:rPr>
          <w:i/>
          <w:iCs/>
          <w:sz w:val="24"/>
          <w:szCs w:val="24"/>
        </w:rPr>
        <w:t>Evidence Collection</w:t>
      </w:r>
      <w:r w:rsidRPr="14B79C40">
        <w:rPr>
          <w:sz w:val="24"/>
          <w:szCs w:val="24"/>
        </w:rPr>
        <w:t>. After fall grades are submitted, the faculty member provides the evaluation panel with access to course materials, assessment data demonstrating interdisciplinary learning outcomes, and a collaborative teaching reflection. If the course is team-taught, the co-instructor</w:t>
      </w:r>
      <w:r w:rsidR="7F803EB3" w:rsidRPr="14B79C40">
        <w:rPr>
          <w:sz w:val="24"/>
          <w:szCs w:val="24"/>
        </w:rPr>
        <w:t>(s)</w:t>
      </w:r>
      <w:r w:rsidRPr="14B79C40">
        <w:rPr>
          <w:sz w:val="24"/>
          <w:szCs w:val="24"/>
        </w:rPr>
        <w:t xml:space="preserve"> may provide a brief collaborative statement.</w:t>
      </w:r>
    </w:p>
    <w:p w14:paraId="773ABCCD" w14:textId="77777777" w:rsidR="0083257A" w:rsidRPr="0083257A" w:rsidRDefault="0083257A" w:rsidP="008A17F1">
      <w:pPr>
        <w:pStyle w:val="ListParagraph"/>
        <w:numPr>
          <w:ilvl w:val="0"/>
          <w:numId w:val="37"/>
        </w:numPr>
        <w:spacing w:before="120" w:after="120" w:line="240" w:lineRule="auto"/>
        <w:contextualSpacing w:val="0"/>
        <w:rPr>
          <w:sz w:val="24"/>
          <w:szCs w:val="24"/>
        </w:rPr>
      </w:pPr>
      <w:r w:rsidRPr="0083257A">
        <w:rPr>
          <w:i/>
          <w:iCs/>
          <w:sz w:val="24"/>
          <w:szCs w:val="24"/>
        </w:rPr>
        <w:t>Evaluation</w:t>
      </w:r>
      <w:r w:rsidRPr="0083257A">
        <w:rPr>
          <w:sz w:val="24"/>
          <w:szCs w:val="24"/>
        </w:rPr>
        <w:t>. Panel members individually use college rubrics designed for interdisciplinary teaching to evaluate the evidence. The panel then meets to discuss findings and, when necessary, average rubric scores. Special attention is given to the unique challenges and opportunities of interdisciplinary and collaborative teaching.</w:t>
      </w:r>
    </w:p>
    <w:p w14:paraId="2369F039" w14:textId="77777777" w:rsidR="0083257A" w:rsidRPr="0083257A" w:rsidRDefault="0083257A" w:rsidP="008A17F1">
      <w:pPr>
        <w:pStyle w:val="ListParagraph"/>
        <w:numPr>
          <w:ilvl w:val="0"/>
          <w:numId w:val="37"/>
        </w:numPr>
        <w:spacing w:before="120" w:after="120" w:line="240" w:lineRule="auto"/>
        <w:contextualSpacing w:val="0"/>
        <w:rPr>
          <w:sz w:val="24"/>
          <w:szCs w:val="24"/>
        </w:rPr>
      </w:pPr>
      <w:r w:rsidRPr="0083257A">
        <w:rPr>
          <w:i/>
          <w:iCs/>
          <w:sz w:val="24"/>
          <w:szCs w:val="24"/>
        </w:rPr>
        <w:t>Written Report</w:t>
      </w:r>
      <w:r w:rsidRPr="0083257A">
        <w:rPr>
          <w:sz w:val="24"/>
          <w:szCs w:val="24"/>
        </w:rPr>
        <w:t>. The evaluation panel prepares a written report describing the evidence reviewed, assessments based on selected criteria, and constructive feedback for professional development. The panel chair sends the completed report to the college dean, who forwards it to the faculty member by May 1.</w:t>
      </w:r>
    </w:p>
    <w:p w14:paraId="589C3FA0" w14:textId="77777777" w:rsidR="0083257A" w:rsidRDefault="0083257A" w:rsidP="0083257A">
      <w:pPr>
        <w:spacing w:after="0" w:line="240" w:lineRule="auto"/>
        <w:rPr>
          <w:b/>
          <w:bCs/>
          <w:sz w:val="24"/>
          <w:szCs w:val="24"/>
        </w:rPr>
      </w:pPr>
    </w:p>
    <w:p w14:paraId="323175FA" w14:textId="5DCE90F7" w:rsidR="0083257A" w:rsidRPr="0083257A" w:rsidRDefault="0083257A" w:rsidP="0083257A">
      <w:pPr>
        <w:spacing w:after="0" w:line="240" w:lineRule="auto"/>
        <w:rPr>
          <w:b/>
          <w:bCs/>
          <w:sz w:val="24"/>
          <w:szCs w:val="24"/>
        </w:rPr>
      </w:pPr>
      <w:r w:rsidRPr="0083257A">
        <w:rPr>
          <w:b/>
          <w:bCs/>
          <w:sz w:val="24"/>
          <w:szCs w:val="24"/>
        </w:rPr>
        <w:t>Documentation / Record Keeping</w:t>
      </w:r>
    </w:p>
    <w:p w14:paraId="2E87C54C" w14:textId="77777777" w:rsidR="0083257A" w:rsidRDefault="0083257A" w:rsidP="0083257A">
      <w:pPr>
        <w:spacing w:after="0" w:line="240" w:lineRule="auto"/>
        <w:rPr>
          <w:sz w:val="24"/>
          <w:szCs w:val="24"/>
        </w:rPr>
      </w:pPr>
      <w:r w:rsidRPr="0083257A">
        <w:rPr>
          <w:sz w:val="24"/>
          <w:szCs w:val="24"/>
        </w:rPr>
        <w:t>Per college policy, the dean retains a record of the written report and completion date. A copy is included in the faculty member's college personnel file and shared with their home department for annual review purposes.</w:t>
      </w:r>
    </w:p>
    <w:p w14:paraId="0283733A" w14:textId="77777777" w:rsidR="00FB2743" w:rsidRDefault="00FB2743" w:rsidP="0083257A">
      <w:pPr>
        <w:spacing w:after="0" w:line="240" w:lineRule="auto"/>
        <w:rPr>
          <w:sz w:val="24"/>
          <w:szCs w:val="24"/>
        </w:rPr>
      </w:pPr>
    </w:p>
    <w:p w14:paraId="1ECE7925" w14:textId="77777777" w:rsidR="00FB2743" w:rsidRDefault="00FB2743">
      <w:pPr>
        <w:rPr>
          <w:b/>
          <w:bCs/>
          <w:sz w:val="24"/>
          <w:szCs w:val="24"/>
        </w:rPr>
      </w:pPr>
      <w:r>
        <w:rPr>
          <w:b/>
          <w:bCs/>
          <w:sz w:val="24"/>
          <w:szCs w:val="24"/>
        </w:rPr>
        <w:br w:type="page"/>
      </w:r>
    </w:p>
    <w:p w14:paraId="0D5F6592" w14:textId="5F27AF59" w:rsidR="00FB2743" w:rsidRDefault="00FB2743" w:rsidP="00FB2743">
      <w:pPr>
        <w:pStyle w:val="IntenseQuote"/>
      </w:pPr>
      <w:r w:rsidRPr="00FB2743">
        <w:lastRenderedPageBreak/>
        <w:t>Peer Evaluation of Teaching Example</w:t>
      </w:r>
      <w:r w:rsidR="00696FA9">
        <w:t xml:space="preserve"> 7</w:t>
      </w:r>
      <w:r w:rsidRPr="00FB2743">
        <w:t xml:space="preserve">: </w:t>
      </w:r>
    </w:p>
    <w:p w14:paraId="47DF354C" w14:textId="720A39FC" w:rsidR="00FB2743" w:rsidRPr="00FB2743" w:rsidRDefault="00FB2743" w:rsidP="00FB2743">
      <w:pPr>
        <w:pStyle w:val="IntenseQuote"/>
      </w:pPr>
      <w:r w:rsidRPr="00FB2743">
        <w:t>A Small Department in Arts &amp; Sciences</w:t>
      </w:r>
    </w:p>
    <w:p w14:paraId="663B673B" w14:textId="77777777" w:rsidR="00FB2743" w:rsidRDefault="00FB2743" w:rsidP="00FB2743">
      <w:pPr>
        <w:spacing w:after="0" w:line="240" w:lineRule="auto"/>
        <w:rPr>
          <w:b/>
          <w:bCs/>
          <w:sz w:val="24"/>
          <w:szCs w:val="24"/>
        </w:rPr>
      </w:pPr>
    </w:p>
    <w:p w14:paraId="590C85F1" w14:textId="1A771A5F" w:rsidR="00FB2743" w:rsidRPr="00FB2743" w:rsidRDefault="00FB2743" w:rsidP="00FB2743">
      <w:pPr>
        <w:spacing w:after="0" w:line="240" w:lineRule="auto"/>
        <w:rPr>
          <w:b/>
          <w:bCs/>
          <w:sz w:val="24"/>
          <w:szCs w:val="24"/>
        </w:rPr>
      </w:pPr>
      <w:r w:rsidRPr="00FB2743">
        <w:rPr>
          <w:b/>
          <w:bCs/>
          <w:sz w:val="24"/>
          <w:szCs w:val="24"/>
        </w:rPr>
        <w:t>Hypothetical Scenario</w:t>
      </w:r>
    </w:p>
    <w:p w14:paraId="25D039DE" w14:textId="77777777" w:rsidR="00FB2743" w:rsidRDefault="00FB2743" w:rsidP="00FB2743">
      <w:pPr>
        <w:spacing w:after="0" w:line="240" w:lineRule="auto"/>
        <w:rPr>
          <w:b/>
          <w:bCs/>
          <w:sz w:val="24"/>
          <w:szCs w:val="24"/>
        </w:rPr>
      </w:pPr>
    </w:p>
    <w:p w14:paraId="507B4684" w14:textId="0FF42F88" w:rsidR="00FB2743" w:rsidRPr="00FB2743" w:rsidRDefault="00FB2743" w:rsidP="00FB2743">
      <w:pPr>
        <w:spacing w:after="0" w:line="240" w:lineRule="auto"/>
        <w:rPr>
          <w:sz w:val="24"/>
          <w:szCs w:val="24"/>
          <w:u w:val="single"/>
        </w:rPr>
      </w:pPr>
      <w:r w:rsidRPr="00FB2743">
        <w:rPr>
          <w:sz w:val="24"/>
          <w:szCs w:val="24"/>
          <w:u w:val="single"/>
        </w:rPr>
        <w:t>College Requirements and Process</w:t>
      </w:r>
    </w:p>
    <w:p w14:paraId="244D193C" w14:textId="77777777" w:rsidR="00FB2743" w:rsidRPr="00FB2743" w:rsidRDefault="00FB2743" w:rsidP="00FB2743">
      <w:pPr>
        <w:spacing w:after="0" w:line="240" w:lineRule="auto"/>
        <w:rPr>
          <w:sz w:val="24"/>
          <w:szCs w:val="24"/>
        </w:rPr>
      </w:pPr>
      <w:r w:rsidRPr="00FB2743">
        <w:rPr>
          <w:sz w:val="24"/>
          <w:szCs w:val="24"/>
        </w:rPr>
        <w:t>The college requires each department to create peer evaluation policies and processes that meet the minimum university requirements.</w:t>
      </w:r>
    </w:p>
    <w:p w14:paraId="4156FD14" w14:textId="77777777" w:rsidR="00FB2743" w:rsidRDefault="00FB2743" w:rsidP="00FB2743">
      <w:pPr>
        <w:spacing w:after="0" w:line="240" w:lineRule="auto"/>
        <w:rPr>
          <w:sz w:val="24"/>
          <w:szCs w:val="24"/>
        </w:rPr>
      </w:pPr>
    </w:p>
    <w:p w14:paraId="3CCDE020" w14:textId="4048BBBC" w:rsidR="00FB2743" w:rsidRPr="00FB2743" w:rsidRDefault="00FB2743" w:rsidP="00FB2743">
      <w:pPr>
        <w:spacing w:after="0" w:line="240" w:lineRule="auto"/>
        <w:rPr>
          <w:sz w:val="24"/>
          <w:szCs w:val="24"/>
        </w:rPr>
      </w:pPr>
      <w:r w:rsidRPr="00FB2743">
        <w:rPr>
          <w:sz w:val="24"/>
          <w:szCs w:val="24"/>
        </w:rPr>
        <w:t>At the beginning of each academic year, faculty members who will serve as peer evaluators will be offered a two-hour orientation meeting with staff from the CTLA. The orientation meeting provides information about the process, evaluation tools, teaching excellence criteria, and suggestions for bias mitigation. Training is strongly recommended for faculty who have not previously received it.</w:t>
      </w:r>
    </w:p>
    <w:p w14:paraId="135AB4C5" w14:textId="77777777" w:rsidR="00FB2743" w:rsidRDefault="00FB2743" w:rsidP="00FB2743">
      <w:pPr>
        <w:spacing w:after="0" w:line="240" w:lineRule="auto"/>
        <w:rPr>
          <w:b/>
          <w:bCs/>
          <w:sz w:val="24"/>
          <w:szCs w:val="24"/>
        </w:rPr>
      </w:pPr>
    </w:p>
    <w:p w14:paraId="411BF07C" w14:textId="4137C3AE" w:rsidR="00FB2743" w:rsidRPr="00FB2743" w:rsidRDefault="00FB2743" w:rsidP="00FB2743">
      <w:pPr>
        <w:spacing w:after="0" w:line="240" w:lineRule="auto"/>
        <w:rPr>
          <w:sz w:val="24"/>
          <w:szCs w:val="24"/>
          <w:u w:val="single"/>
        </w:rPr>
      </w:pPr>
      <w:r w:rsidRPr="00FB2743">
        <w:rPr>
          <w:sz w:val="24"/>
          <w:szCs w:val="24"/>
          <w:u w:val="single"/>
        </w:rPr>
        <w:t>Department Committee</w:t>
      </w:r>
    </w:p>
    <w:p w14:paraId="67E59C1D" w14:textId="54CF2007" w:rsidR="00FB2743" w:rsidRPr="00FB2743" w:rsidRDefault="00FB2743" w:rsidP="00FB2743">
      <w:pPr>
        <w:spacing w:after="0" w:line="240" w:lineRule="auto"/>
        <w:rPr>
          <w:sz w:val="24"/>
          <w:szCs w:val="24"/>
        </w:rPr>
      </w:pPr>
      <w:r w:rsidRPr="00FB2743">
        <w:rPr>
          <w:sz w:val="24"/>
          <w:szCs w:val="24"/>
        </w:rPr>
        <w:t>Consistent with college and university guidelines, the department adopts a system of peer evaluations of teaching that requires an evaluation of teaching for each faculty member once every three years. Evaluations are conducted by a Peer Evaluation of Teaching (PET) Committee.</w:t>
      </w:r>
    </w:p>
    <w:p w14:paraId="316CB263" w14:textId="77777777" w:rsidR="00FB2743" w:rsidRDefault="00FB2743" w:rsidP="00FB2743">
      <w:pPr>
        <w:spacing w:after="0" w:line="240" w:lineRule="auto"/>
        <w:rPr>
          <w:b/>
          <w:bCs/>
          <w:sz w:val="24"/>
          <w:szCs w:val="24"/>
        </w:rPr>
      </w:pPr>
    </w:p>
    <w:p w14:paraId="6EA2E0EB" w14:textId="19D592C8" w:rsidR="00FB2743" w:rsidRPr="00EC696E" w:rsidRDefault="00FB2743" w:rsidP="00FB2743">
      <w:pPr>
        <w:spacing w:after="0" w:line="240" w:lineRule="auto"/>
        <w:rPr>
          <w:sz w:val="24"/>
          <w:szCs w:val="24"/>
        </w:rPr>
      </w:pPr>
      <w:r w:rsidRPr="00EC696E">
        <w:rPr>
          <w:sz w:val="24"/>
          <w:szCs w:val="24"/>
        </w:rPr>
        <w:t>The PET Committee is constituted as follows:</w:t>
      </w:r>
    </w:p>
    <w:p w14:paraId="799B9626" w14:textId="517D86BF" w:rsidR="00FB2743" w:rsidRPr="00543774" w:rsidRDefault="00FB2743" w:rsidP="00543774">
      <w:pPr>
        <w:pStyle w:val="ListParagraph"/>
        <w:numPr>
          <w:ilvl w:val="0"/>
          <w:numId w:val="42"/>
        </w:numPr>
        <w:spacing w:after="0" w:line="240" w:lineRule="auto"/>
        <w:rPr>
          <w:sz w:val="24"/>
          <w:szCs w:val="24"/>
        </w:rPr>
      </w:pPr>
      <w:r w:rsidRPr="00543774">
        <w:rPr>
          <w:sz w:val="24"/>
          <w:szCs w:val="24"/>
        </w:rPr>
        <w:t xml:space="preserve">The committee may be a </w:t>
      </w:r>
      <w:proofErr w:type="gramStart"/>
      <w:r w:rsidRPr="00543774">
        <w:rPr>
          <w:sz w:val="24"/>
          <w:szCs w:val="24"/>
        </w:rPr>
        <w:t>committee of the whole</w:t>
      </w:r>
      <w:proofErr w:type="gramEnd"/>
      <w:r w:rsidRPr="00543774">
        <w:rPr>
          <w:sz w:val="24"/>
          <w:szCs w:val="24"/>
        </w:rPr>
        <w:t xml:space="preserve"> (i.e. all teaching active faculty in the department) or a subset of the faculty (3-4 faculty either designated by the chair of the department or elected by the faculty at large). Faculty on this committee are strongly encouraged to take a two-hour orientation meeting offered by the staff from the Center for Teaching, Learning, and Assessment (CTLA). The orientation meeting provides information about the process, evaluation tools, teaching excellence criteria, and suggestions for bias mitigation. Training is strongly recommended for faculty who have not previously received it.</w:t>
      </w:r>
    </w:p>
    <w:p w14:paraId="60DC1688" w14:textId="46432FC8" w:rsidR="00FB2743" w:rsidRPr="00543774" w:rsidRDefault="00FB2743" w:rsidP="00543774">
      <w:pPr>
        <w:pStyle w:val="ListParagraph"/>
        <w:numPr>
          <w:ilvl w:val="0"/>
          <w:numId w:val="42"/>
        </w:numPr>
        <w:spacing w:after="0" w:line="240" w:lineRule="auto"/>
        <w:rPr>
          <w:sz w:val="24"/>
          <w:szCs w:val="24"/>
        </w:rPr>
      </w:pPr>
      <w:r w:rsidRPr="00543774">
        <w:rPr>
          <w:sz w:val="24"/>
          <w:szCs w:val="24"/>
        </w:rPr>
        <w:t xml:space="preserve">A department should determine the structure of the committee and length of service of </w:t>
      </w:r>
      <w:proofErr w:type="gramStart"/>
      <w:r w:rsidRPr="00543774">
        <w:rPr>
          <w:sz w:val="24"/>
          <w:szCs w:val="24"/>
        </w:rPr>
        <w:t>elected</w:t>
      </w:r>
      <w:proofErr w:type="gramEnd"/>
      <w:r w:rsidRPr="00543774">
        <w:rPr>
          <w:sz w:val="24"/>
          <w:szCs w:val="24"/>
        </w:rPr>
        <w:t xml:space="preserve"> committee. For example, these faculty may serve 2 or 3 consecutive years; the department chair has the option to remove faculty members from the ballot at their request.</w:t>
      </w:r>
    </w:p>
    <w:p w14:paraId="6A43F909" w14:textId="77777777" w:rsidR="00FB2743" w:rsidRDefault="00FB2743" w:rsidP="00FB2743">
      <w:pPr>
        <w:spacing w:after="0" w:line="240" w:lineRule="auto"/>
        <w:rPr>
          <w:b/>
          <w:bCs/>
          <w:sz w:val="24"/>
          <w:szCs w:val="24"/>
        </w:rPr>
      </w:pPr>
    </w:p>
    <w:p w14:paraId="76593A71" w14:textId="32044E7E" w:rsidR="00FB2743" w:rsidRPr="00FB2743" w:rsidRDefault="3A5C98EC" w:rsidP="00FB2743">
      <w:pPr>
        <w:spacing w:after="0" w:line="240" w:lineRule="auto"/>
        <w:rPr>
          <w:sz w:val="24"/>
          <w:szCs w:val="24"/>
          <w:u w:val="single"/>
        </w:rPr>
      </w:pPr>
      <w:r w:rsidRPr="14B79C40">
        <w:rPr>
          <w:sz w:val="24"/>
          <w:szCs w:val="24"/>
          <w:u w:val="single"/>
        </w:rPr>
        <w:t>Department Requirements</w:t>
      </w:r>
    </w:p>
    <w:p w14:paraId="325C54D1" w14:textId="19D8AF69" w:rsidR="00FB2743" w:rsidRPr="00FB2743" w:rsidRDefault="00FB2743" w:rsidP="00FB2743">
      <w:pPr>
        <w:spacing w:after="0" w:line="240" w:lineRule="auto"/>
        <w:rPr>
          <w:sz w:val="24"/>
          <w:szCs w:val="24"/>
        </w:rPr>
      </w:pPr>
      <w:r w:rsidRPr="00FB2743">
        <w:rPr>
          <w:sz w:val="24"/>
          <w:szCs w:val="24"/>
        </w:rPr>
        <w:t>The department</w:t>
      </w:r>
      <w:r w:rsidR="00543774">
        <w:rPr>
          <w:sz w:val="24"/>
          <w:szCs w:val="24"/>
        </w:rPr>
        <w:t>'</w:t>
      </w:r>
      <w:r w:rsidRPr="00FB2743">
        <w:rPr>
          <w:sz w:val="24"/>
          <w:szCs w:val="24"/>
        </w:rPr>
        <w:t>s guidelines state that faculty evaluations should include recognition of the TRS distribution, i.e. the percent teaching required of each faculty member and the number of course(s) appropriate for that distribution.</w:t>
      </w:r>
      <w:r w:rsidR="00DA7814">
        <w:rPr>
          <w:sz w:val="24"/>
          <w:szCs w:val="24"/>
        </w:rPr>
        <w:t xml:space="preserve"> </w:t>
      </w:r>
      <w:r w:rsidRPr="00FB2743">
        <w:rPr>
          <w:sz w:val="24"/>
          <w:szCs w:val="24"/>
        </w:rPr>
        <w:t>Additional considerations</w:t>
      </w:r>
      <w:r w:rsidR="00DA7814">
        <w:rPr>
          <w:sz w:val="24"/>
          <w:szCs w:val="24"/>
        </w:rPr>
        <w:t xml:space="preserve"> include</w:t>
      </w:r>
      <w:r w:rsidRPr="00FB2743">
        <w:rPr>
          <w:sz w:val="24"/>
          <w:szCs w:val="24"/>
        </w:rPr>
        <w:t xml:space="preserve">: </w:t>
      </w:r>
    </w:p>
    <w:p w14:paraId="1B2EADF8" w14:textId="4CBFFDFC" w:rsidR="00FB2743" w:rsidRPr="00FB2743" w:rsidRDefault="3A5C98EC" w:rsidP="008A17F1">
      <w:pPr>
        <w:numPr>
          <w:ilvl w:val="0"/>
          <w:numId w:val="38"/>
        </w:numPr>
        <w:spacing w:after="0" w:line="240" w:lineRule="auto"/>
        <w:rPr>
          <w:sz w:val="24"/>
          <w:szCs w:val="24"/>
        </w:rPr>
      </w:pPr>
      <w:r w:rsidRPr="12418110">
        <w:rPr>
          <w:sz w:val="24"/>
          <w:szCs w:val="24"/>
        </w:rPr>
        <w:t xml:space="preserve">Number of courses (required + additional non-compensated teaching, enrollment, contact hrs., TA </w:t>
      </w:r>
      <w:proofErr w:type="gramStart"/>
      <w:r w:rsidRPr="12418110">
        <w:rPr>
          <w:sz w:val="24"/>
          <w:szCs w:val="24"/>
        </w:rPr>
        <w:t>support, #</w:t>
      </w:r>
      <w:proofErr w:type="gramEnd"/>
      <w:r w:rsidRPr="12418110">
        <w:rPr>
          <w:sz w:val="24"/>
          <w:szCs w:val="24"/>
        </w:rPr>
        <w:t xml:space="preserve"> of grad students and UG researchers mentored, </w:t>
      </w:r>
      <w:r w:rsidR="4DCDFBC2" w:rsidRPr="12418110">
        <w:rPr>
          <w:sz w:val="24"/>
          <w:szCs w:val="24"/>
        </w:rPr>
        <w:t>for example).</w:t>
      </w:r>
    </w:p>
    <w:p w14:paraId="68D4C6FA" w14:textId="77777777" w:rsidR="00FB2743" w:rsidRPr="00FB2743" w:rsidRDefault="00FB2743" w:rsidP="008A17F1">
      <w:pPr>
        <w:numPr>
          <w:ilvl w:val="0"/>
          <w:numId w:val="38"/>
        </w:numPr>
        <w:spacing w:after="0" w:line="240" w:lineRule="auto"/>
        <w:rPr>
          <w:sz w:val="24"/>
          <w:szCs w:val="24"/>
        </w:rPr>
      </w:pPr>
      <w:r w:rsidRPr="00FB2743">
        <w:rPr>
          <w:sz w:val="24"/>
          <w:szCs w:val="24"/>
        </w:rPr>
        <w:t>Number of new courses developed or significantly modified/updated in that academic year with discussion of the modifications and rationale to teaching strategies and any feedback from students.</w:t>
      </w:r>
    </w:p>
    <w:p w14:paraId="45E25463" w14:textId="4A9675F7" w:rsidR="00FB2743" w:rsidRPr="00FB2743" w:rsidRDefault="00FB2743" w:rsidP="008A17F1">
      <w:pPr>
        <w:numPr>
          <w:ilvl w:val="0"/>
          <w:numId w:val="38"/>
        </w:numPr>
        <w:spacing w:after="0" w:line="240" w:lineRule="auto"/>
        <w:rPr>
          <w:sz w:val="24"/>
          <w:szCs w:val="24"/>
        </w:rPr>
      </w:pPr>
      <w:r w:rsidRPr="12418110">
        <w:rPr>
          <w:sz w:val="24"/>
          <w:szCs w:val="24"/>
        </w:rPr>
        <w:t>Scholarship and professional development regarding teachin</w:t>
      </w:r>
      <w:r w:rsidR="1A3C7E60" w:rsidRPr="12418110">
        <w:rPr>
          <w:sz w:val="24"/>
          <w:szCs w:val="24"/>
        </w:rPr>
        <w:t>g:</w:t>
      </w:r>
      <w:r w:rsidRPr="12418110">
        <w:rPr>
          <w:sz w:val="24"/>
          <w:szCs w:val="24"/>
        </w:rPr>
        <w:t xml:space="preserve"> Consideration of courses/workshops on teaching and inclusion of new teaching strategies applied, as </w:t>
      </w:r>
      <w:r w:rsidRPr="12418110">
        <w:rPr>
          <w:sz w:val="24"/>
          <w:szCs w:val="24"/>
        </w:rPr>
        <w:lastRenderedPageBreak/>
        <w:t>reported. Presentations, publications, grant awards, and/or media on course development/teaching strategies with key details of their contribution to the field.</w:t>
      </w:r>
    </w:p>
    <w:p w14:paraId="16CC4591" w14:textId="229BA922" w:rsidR="00FB2743" w:rsidRPr="00FB2743" w:rsidRDefault="00FB2743" w:rsidP="008A17F1">
      <w:pPr>
        <w:numPr>
          <w:ilvl w:val="0"/>
          <w:numId w:val="38"/>
        </w:numPr>
        <w:spacing w:after="0" w:line="240" w:lineRule="auto"/>
        <w:rPr>
          <w:sz w:val="24"/>
          <w:szCs w:val="24"/>
        </w:rPr>
      </w:pPr>
      <w:r w:rsidRPr="00FB2743">
        <w:rPr>
          <w:sz w:val="24"/>
          <w:szCs w:val="24"/>
        </w:rPr>
        <w:t>Scores/comments on student evaluations (all placed in a shared folder)</w:t>
      </w:r>
      <w:r w:rsidR="00DA7814">
        <w:rPr>
          <w:sz w:val="24"/>
          <w:szCs w:val="24"/>
        </w:rPr>
        <w:t>.</w:t>
      </w:r>
    </w:p>
    <w:p w14:paraId="359578DC" w14:textId="77777777" w:rsidR="00FB2743" w:rsidRPr="00FB2743" w:rsidRDefault="00FB2743" w:rsidP="008A17F1">
      <w:pPr>
        <w:numPr>
          <w:ilvl w:val="0"/>
          <w:numId w:val="38"/>
        </w:numPr>
        <w:spacing w:after="0" w:line="240" w:lineRule="auto"/>
        <w:rPr>
          <w:sz w:val="24"/>
          <w:szCs w:val="24"/>
        </w:rPr>
      </w:pPr>
      <w:r w:rsidRPr="00FB2743">
        <w:rPr>
          <w:sz w:val="24"/>
          <w:szCs w:val="24"/>
        </w:rPr>
        <w:t xml:space="preserve">Results of </w:t>
      </w:r>
      <w:proofErr w:type="gramStart"/>
      <w:r w:rsidRPr="00FB2743">
        <w:rPr>
          <w:sz w:val="24"/>
          <w:szCs w:val="24"/>
        </w:rPr>
        <w:t>peer classroom</w:t>
      </w:r>
      <w:proofErr w:type="gramEnd"/>
      <w:r w:rsidRPr="00FB2743">
        <w:rPr>
          <w:sz w:val="24"/>
          <w:szCs w:val="24"/>
        </w:rPr>
        <w:t xml:space="preserve"> observation, with course and class period agreed upon by instructor and evaluator (required annually for assistants and optional (or every 2 yrs) for post tenure/promotion).</w:t>
      </w:r>
    </w:p>
    <w:p w14:paraId="71329E01" w14:textId="77777777" w:rsidR="00FB2743" w:rsidRDefault="00FB2743" w:rsidP="00FB2743">
      <w:pPr>
        <w:spacing w:after="0" w:line="240" w:lineRule="auto"/>
        <w:rPr>
          <w:sz w:val="24"/>
          <w:szCs w:val="24"/>
        </w:rPr>
      </w:pPr>
    </w:p>
    <w:p w14:paraId="424A57B4" w14:textId="051E9EB8" w:rsidR="00FB2743" w:rsidRPr="00FB2743" w:rsidRDefault="00FB2743" w:rsidP="00FB2743">
      <w:pPr>
        <w:spacing w:after="0" w:line="240" w:lineRule="auto"/>
        <w:rPr>
          <w:sz w:val="24"/>
          <w:szCs w:val="24"/>
        </w:rPr>
      </w:pPr>
      <w:r w:rsidRPr="00FB2743">
        <w:rPr>
          <w:sz w:val="24"/>
          <w:szCs w:val="24"/>
        </w:rPr>
        <w:t>Evidence may include the syllabus, assignments, etc</w:t>
      </w:r>
      <w:r w:rsidR="00DA7814">
        <w:rPr>
          <w:sz w:val="24"/>
          <w:szCs w:val="24"/>
        </w:rPr>
        <w:t>.</w:t>
      </w:r>
      <w:r w:rsidRPr="00FB2743">
        <w:rPr>
          <w:sz w:val="24"/>
          <w:szCs w:val="24"/>
        </w:rPr>
        <w:t xml:space="preserve"> from a single course (or multiple courses) that represents the faculty member</w:t>
      </w:r>
      <w:r w:rsidR="00543774">
        <w:rPr>
          <w:sz w:val="24"/>
          <w:szCs w:val="24"/>
        </w:rPr>
        <w:t>'</w:t>
      </w:r>
      <w:r w:rsidRPr="00FB2743">
        <w:rPr>
          <w:sz w:val="24"/>
          <w:szCs w:val="24"/>
        </w:rPr>
        <w:t>s primary on-load teaching responsibility.</w:t>
      </w:r>
    </w:p>
    <w:p w14:paraId="39136EAE" w14:textId="77777777" w:rsidR="00FB2743" w:rsidRPr="00FB2743" w:rsidRDefault="00FB2743" w:rsidP="008A17F1">
      <w:pPr>
        <w:numPr>
          <w:ilvl w:val="0"/>
          <w:numId w:val="39"/>
        </w:numPr>
        <w:spacing w:after="0" w:line="240" w:lineRule="auto"/>
        <w:rPr>
          <w:sz w:val="24"/>
          <w:szCs w:val="24"/>
        </w:rPr>
      </w:pPr>
      <w:r w:rsidRPr="00FB2743">
        <w:rPr>
          <w:sz w:val="24"/>
          <w:szCs w:val="24"/>
        </w:rPr>
        <w:t xml:space="preserve"> The course selected would be agreed upon between the faculty member and the PET Committee (or department chair if a committee of the whole).</w:t>
      </w:r>
    </w:p>
    <w:p w14:paraId="4DFFD60A" w14:textId="77777777" w:rsidR="00FB2743" w:rsidRDefault="00FB2743" w:rsidP="00FB2743">
      <w:pPr>
        <w:spacing w:after="0" w:line="240" w:lineRule="auto"/>
        <w:rPr>
          <w:sz w:val="24"/>
          <w:szCs w:val="24"/>
        </w:rPr>
      </w:pPr>
    </w:p>
    <w:p w14:paraId="3989DE55" w14:textId="0108E9D9" w:rsidR="00FB2743" w:rsidRPr="00FB2743" w:rsidRDefault="00FB2743" w:rsidP="00FB2743">
      <w:pPr>
        <w:spacing w:after="0" w:line="240" w:lineRule="auto"/>
        <w:rPr>
          <w:sz w:val="24"/>
          <w:szCs w:val="24"/>
        </w:rPr>
      </w:pPr>
      <w:r w:rsidRPr="00FB2743">
        <w:rPr>
          <w:sz w:val="24"/>
          <w:szCs w:val="24"/>
        </w:rPr>
        <w:t>Include evidence from at least two different sources for each criterion evaluated (selected from Preparation, Engagement, Inclusion, Subject Expertise, Pedagogical Competence, Outcomes, Improvement, Adaptability &amp; Innovation), to be selected by the faculty member. (Alternate sources of evidence may be used by agreement between the faculty member and the PET Committee.)</w:t>
      </w:r>
    </w:p>
    <w:p w14:paraId="1EFCAEB1" w14:textId="77777777" w:rsidR="00FB2743" w:rsidRDefault="00FB2743" w:rsidP="00FB2743">
      <w:pPr>
        <w:spacing w:after="0" w:line="240" w:lineRule="auto"/>
        <w:rPr>
          <w:sz w:val="24"/>
          <w:szCs w:val="24"/>
        </w:rPr>
      </w:pPr>
    </w:p>
    <w:p w14:paraId="7923238A" w14:textId="73B7C401" w:rsidR="00FB2743" w:rsidRPr="00FB2743" w:rsidRDefault="00FB2743" w:rsidP="00FB2743">
      <w:pPr>
        <w:spacing w:after="0" w:line="240" w:lineRule="auto"/>
        <w:rPr>
          <w:sz w:val="24"/>
          <w:szCs w:val="24"/>
        </w:rPr>
      </w:pPr>
      <w:r w:rsidRPr="00FB2743">
        <w:rPr>
          <w:sz w:val="24"/>
          <w:szCs w:val="24"/>
        </w:rPr>
        <w:t xml:space="preserve">Focus on two teaching excellence criteria, which are selected by the faculty </w:t>
      </w:r>
      <w:proofErr w:type="gramStart"/>
      <w:r w:rsidRPr="00FB2743">
        <w:rPr>
          <w:sz w:val="24"/>
          <w:szCs w:val="24"/>
        </w:rPr>
        <w:t>member</w:t>
      </w:r>
      <w:proofErr w:type="gramEnd"/>
      <w:r w:rsidRPr="00FB2743">
        <w:rPr>
          <w:sz w:val="24"/>
          <w:szCs w:val="24"/>
        </w:rPr>
        <w:t xml:space="preserve"> from among a list of four areas identified in the prior year</w:t>
      </w:r>
      <w:r w:rsidR="00543774">
        <w:rPr>
          <w:sz w:val="24"/>
          <w:szCs w:val="24"/>
        </w:rPr>
        <w:t>'</w:t>
      </w:r>
      <w:r w:rsidRPr="00FB2743">
        <w:rPr>
          <w:sz w:val="24"/>
          <w:szCs w:val="24"/>
        </w:rPr>
        <w:t>s annual merit evaluation.</w:t>
      </w:r>
    </w:p>
    <w:p w14:paraId="7E50703D" w14:textId="77777777" w:rsidR="00FB2743" w:rsidRDefault="00FB2743" w:rsidP="00FB2743">
      <w:pPr>
        <w:spacing w:after="0" w:line="240" w:lineRule="auto"/>
        <w:rPr>
          <w:sz w:val="24"/>
          <w:szCs w:val="24"/>
        </w:rPr>
      </w:pPr>
    </w:p>
    <w:p w14:paraId="54175BF8" w14:textId="5EC673AC" w:rsidR="00FB2743" w:rsidRPr="00FB2743" w:rsidRDefault="00FB2743" w:rsidP="00FB2743">
      <w:pPr>
        <w:spacing w:after="0" w:line="240" w:lineRule="auto"/>
        <w:rPr>
          <w:sz w:val="24"/>
          <w:szCs w:val="24"/>
        </w:rPr>
      </w:pPr>
      <w:r w:rsidRPr="00FB2743">
        <w:rPr>
          <w:sz w:val="24"/>
          <w:szCs w:val="24"/>
        </w:rPr>
        <w:t>Address 2-3 specific goals identified by the faculty member as well as constructive formative feedback where the PET Committee sees significant opportunity for growth or refinement with regard to the target criteria of teaching excellence.</w:t>
      </w:r>
    </w:p>
    <w:p w14:paraId="6E20EAF5" w14:textId="77777777" w:rsidR="00FB2743" w:rsidRPr="0083257A" w:rsidRDefault="00FB2743" w:rsidP="0083257A">
      <w:pPr>
        <w:spacing w:after="0" w:line="240" w:lineRule="auto"/>
        <w:rPr>
          <w:sz w:val="24"/>
          <w:szCs w:val="24"/>
        </w:rPr>
      </w:pPr>
    </w:p>
    <w:p w14:paraId="1E3A4C4D" w14:textId="784F712A" w:rsidR="0083257A" w:rsidRPr="0083257A" w:rsidRDefault="0083257A" w:rsidP="0083257A">
      <w:pPr>
        <w:pStyle w:val="NoSpacing"/>
        <w:rPr>
          <w:sz w:val="24"/>
          <w:szCs w:val="24"/>
        </w:rPr>
      </w:pPr>
    </w:p>
    <w:sectPr w:rsidR="0083257A" w:rsidRPr="0083257A" w:rsidSect="00820235">
      <w:headerReference w:type="default" r:id="rId14"/>
      <w:footerReference w:type="default" r:id="rId15"/>
      <w:pgSz w:w="12240" w:h="15840"/>
      <w:pgMar w:top="1440" w:right="1440" w:bottom="1440" w:left="1440" w:header="720"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Henkel, Jeremy" w:date="2025-06-25T10:36:00Z" w:initials="JH">
    <w:p w14:paraId="68234DD5" w14:textId="77777777" w:rsidR="00D827EC" w:rsidRDefault="00D827EC" w:rsidP="00D827EC">
      <w:pPr>
        <w:pStyle w:val="CommentText"/>
      </w:pPr>
      <w:r>
        <w:rPr>
          <w:rStyle w:val="CommentReference"/>
        </w:rPr>
        <w:annotationRef/>
      </w:r>
      <w:r>
        <w:t>The Evidence Collection stage seems an odd place to make this point. Somewhere under 3.4 might be more fitting.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234DD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C9F717" w16cex:dateUtc="2025-06-25T14: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234DD5" w16cid:durableId="09C9F7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C1FC4" w14:textId="77777777" w:rsidR="00F874F3" w:rsidRDefault="00F874F3" w:rsidP="00F32BD6">
      <w:pPr>
        <w:spacing w:after="0" w:line="240" w:lineRule="auto"/>
      </w:pPr>
      <w:r>
        <w:separator/>
      </w:r>
    </w:p>
  </w:endnote>
  <w:endnote w:type="continuationSeparator" w:id="0">
    <w:p w14:paraId="626449AC" w14:textId="77777777" w:rsidR="00F874F3" w:rsidRDefault="00F874F3" w:rsidP="00F32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4873198"/>
      <w:docPartObj>
        <w:docPartGallery w:val="Page Numbers (Bottom of Page)"/>
        <w:docPartUnique/>
      </w:docPartObj>
    </w:sdtPr>
    <w:sdtEndPr>
      <w:rPr>
        <w:noProof/>
      </w:rPr>
    </w:sdtEndPr>
    <w:sdtContent>
      <w:p w14:paraId="728A88B2" w14:textId="60EE5B61" w:rsidR="00C626B4" w:rsidRDefault="00C626B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AC84FA" w14:textId="77777777" w:rsidR="00F32BD6" w:rsidRDefault="00F32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DC494" w14:textId="77777777" w:rsidR="00F874F3" w:rsidRDefault="00F874F3" w:rsidP="00F32BD6">
      <w:pPr>
        <w:spacing w:after="0" w:line="240" w:lineRule="auto"/>
      </w:pPr>
      <w:r>
        <w:separator/>
      </w:r>
    </w:p>
  </w:footnote>
  <w:footnote w:type="continuationSeparator" w:id="0">
    <w:p w14:paraId="6CFD6540" w14:textId="77777777" w:rsidR="00F874F3" w:rsidRDefault="00F874F3" w:rsidP="00F32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777A6" w14:textId="7AA58D3F" w:rsidR="00F32BD6" w:rsidRPr="002F1258" w:rsidRDefault="00F32BD6">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53D0C73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AE743708"/>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53EA9F7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C135960"/>
    <w:multiLevelType w:val="multilevel"/>
    <w:tmpl w:val="0B3C4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833DD6"/>
    <w:multiLevelType w:val="hybridMultilevel"/>
    <w:tmpl w:val="E7229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531CD0"/>
    <w:multiLevelType w:val="hybridMultilevel"/>
    <w:tmpl w:val="C7BC287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1482775B"/>
    <w:multiLevelType w:val="multilevel"/>
    <w:tmpl w:val="0EBA3C40"/>
    <w:lvl w:ilvl="0">
      <w:start w:val="1"/>
      <w:numFmt w:val="decimal"/>
      <w:pStyle w:val="Heading1"/>
      <w:lvlText w:val="%1"/>
      <w:lvlJc w:val="left"/>
      <w:pPr>
        <w:ind w:left="5112" w:hanging="432"/>
      </w:pPr>
    </w:lvl>
    <w:lvl w:ilvl="1">
      <w:start w:val="1"/>
      <w:numFmt w:val="decimal"/>
      <w:pStyle w:val="Heading2"/>
      <w:lvlText w:val="%1.%2"/>
      <w:lvlJc w:val="left"/>
      <w:pPr>
        <w:ind w:left="993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14F375B1"/>
    <w:multiLevelType w:val="multilevel"/>
    <w:tmpl w:val="9A8A1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1F0D65"/>
    <w:multiLevelType w:val="hybridMultilevel"/>
    <w:tmpl w:val="BB94D3C8"/>
    <w:lvl w:ilvl="0" w:tplc="E4089024">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05521B6"/>
    <w:multiLevelType w:val="hybridMultilevel"/>
    <w:tmpl w:val="D32CDCE4"/>
    <w:lvl w:ilvl="0" w:tplc="84706574">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9875EC1"/>
    <w:multiLevelType w:val="hybridMultilevel"/>
    <w:tmpl w:val="95848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165688"/>
    <w:multiLevelType w:val="hybridMultilevel"/>
    <w:tmpl w:val="B2C496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B157C12"/>
    <w:multiLevelType w:val="hybridMultilevel"/>
    <w:tmpl w:val="1C262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923874"/>
    <w:multiLevelType w:val="multilevel"/>
    <w:tmpl w:val="FB2C4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524E42"/>
    <w:multiLevelType w:val="hybridMultilevel"/>
    <w:tmpl w:val="F06E37F2"/>
    <w:lvl w:ilvl="0" w:tplc="5E7413E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A305FF"/>
    <w:multiLevelType w:val="multilevel"/>
    <w:tmpl w:val="544080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BE6437"/>
    <w:multiLevelType w:val="hybridMultilevel"/>
    <w:tmpl w:val="3C40CF22"/>
    <w:lvl w:ilvl="0" w:tplc="37344A1A">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723648"/>
    <w:multiLevelType w:val="hybridMultilevel"/>
    <w:tmpl w:val="3F5E43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D3437B9"/>
    <w:multiLevelType w:val="hybridMultilevel"/>
    <w:tmpl w:val="C63698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2C96BEE"/>
    <w:multiLevelType w:val="hybridMultilevel"/>
    <w:tmpl w:val="A2D09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9057BA2"/>
    <w:multiLevelType w:val="hybridMultilevel"/>
    <w:tmpl w:val="80A49E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B4D0440"/>
    <w:multiLevelType w:val="multilevel"/>
    <w:tmpl w:val="5CD499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FE2665"/>
    <w:multiLevelType w:val="hybridMultilevel"/>
    <w:tmpl w:val="3A2ACB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C0D4284"/>
    <w:multiLevelType w:val="multilevel"/>
    <w:tmpl w:val="EFA07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556923"/>
    <w:multiLevelType w:val="hybridMultilevel"/>
    <w:tmpl w:val="45F42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DE4B55"/>
    <w:multiLevelType w:val="multilevel"/>
    <w:tmpl w:val="A350A5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EFB7FF1"/>
    <w:multiLevelType w:val="hybridMultilevel"/>
    <w:tmpl w:val="FFF28A6C"/>
    <w:lvl w:ilvl="0" w:tplc="84706574">
      <w:start w:val="1"/>
      <w:numFmt w:val="decimal"/>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65CB70E7"/>
    <w:multiLevelType w:val="multilevel"/>
    <w:tmpl w:val="44221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CC10F9"/>
    <w:multiLevelType w:val="hybridMultilevel"/>
    <w:tmpl w:val="9594DF40"/>
    <w:lvl w:ilvl="0" w:tplc="E68AFF32">
      <w:start w:val="1"/>
      <w:numFmt w:val="bullet"/>
      <w:lvlText w:val=""/>
      <w:lvlJc w:val="left"/>
      <w:pPr>
        <w:ind w:left="720" w:hanging="360"/>
      </w:pPr>
      <w:rPr>
        <w:rFonts w:ascii="Symbol" w:hAnsi="Symbol" w:hint="default"/>
      </w:rPr>
    </w:lvl>
    <w:lvl w:ilvl="1" w:tplc="D92E70E0" w:tentative="1">
      <w:start w:val="1"/>
      <w:numFmt w:val="bullet"/>
      <w:lvlText w:val="o"/>
      <w:lvlJc w:val="left"/>
      <w:pPr>
        <w:ind w:left="1440" w:hanging="360"/>
      </w:pPr>
      <w:rPr>
        <w:rFonts w:ascii="Courier New" w:hAnsi="Courier New" w:hint="default"/>
      </w:rPr>
    </w:lvl>
    <w:lvl w:ilvl="2" w:tplc="CE70584C" w:tentative="1">
      <w:start w:val="1"/>
      <w:numFmt w:val="bullet"/>
      <w:lvlText w:val=""/>
      <w:lvlJc w:val="left"/>
      <w:pPr>
        <w:ind w:left="2160" w:hanging="360"/>
      </w:pPr>
      <w:rPr>
        <w:rFonts w:ascii="Wingdings" w:hAnsi="Wingdings" w:hint="default"/>
      </w:rPr>
    </w:lvl>
    <w:lvl w:ilvl="3" w:tplc="BFC8068A" w:tentative="1">
      <w:start w:val="1"/>
      <w:numFmt w:val="bullet"/>
      <w:lvlText w:val=""/>
      <w:lvlJc w:val="left"/>
      <w:pPr>
        <w:ind w:left="2880" w:hanging="360"/>
      </w:pPr>
      <w:rPr>
        <w:rFonts w:ascii="Symbol" w:hAnsi="Symbol" w:hint="default"/>
      </w:rPr>
    </w:lvl>
    <w:lvl w:ilvl="4" w:tplc="3BC44778" w:tentative="1">
      <w:start w:val="1"/>
      <w:numFmt w:val="bullet"/>
      <w:lvlText w:val="o"/>
      <w:lvlJc w:val="left"/>
      <w:pPr>
        <w:ind w:left="3600" w:hanging="360"/>
      </w:pPr>
      <w:rPr>
        <w:rFonts w:ascii="Courier New" w:hAnsi="Courier New" w:hint="default"/>
      </w:rPr>
    </w:lvl>
    <w:lvl w:ilvl="5" w:tplc="599620EE" w:tentative="1">
      <w:start w:val="1"/>
      <w:numFmt w:val="bullet"/>
      <w:lvlText w:val=""/>
      <w:lvlJc w:val="left"/>
      <w:pPr>
        <w:ind w:left="4320" w:hanging="360"/>
      </w:pPr>
      <w:rPr>
        <w:rFonts w:ascii="Wingdings" w:hAnsi="Wingdings" w:hint="default"/>
      </w:rPr>
    </w:lvl>
    <w:lvl w:ilvl="6" w:tplc="BD0E4478" w:tentative="1">
      <w:start w:val="1"/>
      <w:numFmt w:val="bullet"/>
      <w:lvlText w:val=""/>
      <w:lvlJc w:val="left"/>
      <w:pPr>
        <w:ind w:left="5040" w:hanging="360"/>
      </w:pPr>
      <w:rPr>
        <w:rFonts w:ascii="Symbol" w:hAnsi="Symbol" w:hint="default"/>
      </w:rPr>
    </w:lvl>
    <w:lvl w:ilvl="7" w:tplc="3D28993E" w:tentative="1">
      <w:start w:val="1"/>
      <w:numFmt w:val="bullet"/>
      <w:lvlText w:val="o"/>
      <w:lvlJc w:val="left"/>
      <w:pPr>
        <w:ind w:left="5760" w:hanging="360"/>
      </w:pPr>
      <w:rPr>
        <w:rFonts w:ascii="Courier New" w:hAnsi="Courier New" w:hint="default"/>
      </w:rPr>
    </w:lvl>
    <w:lvl w:ilvl="8" w:tplc="6C4294F6" w:tentative="1">
      <w:start w:val="1"/>
      <w:numFmt w:val="bullet"/>
      <w:lvlText w:val=""/>
      <w:lvlJc w:val="left"/>
      <w:pPr>
        <w:ind w:left="6480" w:hanging="360"/>
      </w:pPr>
      <w:rPr>
        <w:rFonts w:ascii="Wingdings" w:hAnsi="Wingdings" w:hint="default"/>
      </w:rPr>
    </w:lvl>
  </w:abstractNum>
  <w:abstractNum w:abstractNumId="32" w15:restartNumberingAfterBreak="0">
    <w:nsid w:val="6A592833"/>
    <w:multiLevelType w:val="hybridMultilevel"/>
    <w:tmpl w:val="C17C2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751345"/>
    <w:multiLevelType w:val="hybridMultilevel"/>
    <w:tmpl w:val="3F98FFD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70AE1085"/>
    <w:multiLevelType w:val="hybridMultilevel"/>
    <w:tmpl w:val="DF6821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3E441DC"/>
    <w:multiLevelType w:val="hybridMultilevel"/>
    <w:tmpl w:val="3D2E6EC2"/>
    <w:lvl w:ilvl="0" w:tplc="84706574">
      <w:start w:val="1"/>
      <w:numFmt w:val="decimal"/>
      <w:lvlText w:val="%1."/>
      <w:lvlJc w:val="left"/>
      <w:pPr>
        <w:ind w:left="360" w:hanging="360"/>
      </w:pPr>
      <w:rPr>
        <w:rFont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756E5D9F"/>
    <w:multiLevelType w:val="hybridMultilevel"/>
    <w:tmpl w:val="CDD604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5A03AA8"/>
    <w:multiLevelType w:val="hybridMultilevel"/>
    <w:tmpl w:val="157EC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A34D0B"/>
    <w:multiLevelType w:val="multilevel"/>
    <w:tmpl w:val="CDCCC5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5A46328"/>
    <w:multiLevelType w:val="hybridMultilevel"/>
    <w:tmpl w:val="709EF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92722A0"/>
    <w:multiLevelType w:val="hybridMultilevel"/>
    <w:tmpl w:val="113ECB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AA42A07"/>
    <w:multiLevelType w:val="multilevel"/>
    <w:tmpl w:val="C48000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3"/>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0476660">
    <w:abstractNumId w:val="5"/>
  </w:num>
  <w:num w:numId="2" w16cid:durableId="98768431">
    <w:abstractNumId w:val="3"/>
  </w:num>
  <w:num w:numId="3" w16cid:durableId="303586431">
    <w:abstractNumId w:val="2"/>
  </w:num>
  <w:num w:numId="4" w16cid:durableId="358971103">
    <w:abstractNumId w:val="4"/>
  </w:num>
  <w:num w:numId="5" w16cid:durableId="1274902090">
    <w:abstractNumId w:val="1"/>
  </w:num>
  <w:num w:numId="6" w16cid:durableId="1994867128">
    <w:abstractNumId w:val="0"/>
  </w:num>
  <w:num w:numId="7" w16cid:durableId="382026010">
    <w:abstractNumId w:val="27"/>
  </w:num>
  <w:num w:numId="8" w16cid:durableId="1737581579">
    <w:abstractNumId w:val="22"/>
  </w:num>
  <w:num w:numId="9" w16cid:durableId="2065325541">
    <w:abstractNumId w:val="39"/>
  </w:num>
  <w:num w:numId="10" w16cid:durableId="1263343812">
    <w:abstractNumId w:val="25"/>
  </w:num>
  <w:num w:numId="11" w16cid:durableId="806320475">
    <w:abstractNumId w:val="40"/>
  </w:num>
  <w:num w:numId="12" w16cid:durableId="1373965246">
    <w:abstractNumId w:val="15"/>
  </w:num>
  <w:num w:numId="13" w16cid:durableId="246813584">
    <w:abstractNumId w:val="20"/>
  </w:num>
  <w:num w:numId="14" w16cid:durableId="1156846834">
    <w:abstractNumId w:val="21"/>
  </w:num>
  <w:num w:numId="15" w16cid:durableId="1940017423">
    <w:abstractNumId w:val="36"/>
  </w:num>
  <w:num w:numId="16" w16cid:durableId="2130392482">
    <w:abstractNumId w:val="9"/>
  </w:num>
  <w:num w:numId="17" w16cid:durableId="267856451">
    <w:abstractNumId w:val="7"/>
  </w:num>
  <w:num w:numId="18" w16cid:durableId="478376591">
    <w:abstractNumId w:val="30"/>
  </w:num>
  <w:num w:numId="19" w16cid:durableId="402684395">
    <w:abstractNumId w:val="16"/>
  </w:num>
  <w:num w:numId="20" w16cid:durableId="578296977">
    <w:abstractNumId w:val="6"/>
  </w:num>
  <w:num w:numId="21" w16cid:durableId="1417095610">
    <w:abstractNumId w:val="10"/>
  </w:num>
  <w:num w:numId="22" w16cid:durableId="1466508496">
    <w:abstractNumId w:val="41"/>
  </w:num>
  <w:num w:numId="23" w16cid:durableId="1902328386">
    <w:abstractNumId w:val="14"/>
  </w:num>
  <w:num w:numId="24" w16cid:durableId="661005734">
    <w:abstractNumId w:val="19"/>
  </w:num>
  <w:num w:numId="25" w16cid:durableId="900485182">
    <w:abstractNumId w:val="26"/>
  </w:num>
  <w:num w:numId="26" w16cid:durableId="610668024">
    <w:abstractNumId w:val="38"/>
  </w:num>
  <w:num w:numId="27" w16cid:durableId="2008560061">
    <w:abstractNumId w:val="24"/>
  </w:num>
  <w:num w:numId="28" w16cid:durableId="1182091480">
    <w:abstractNumId w:val="28"/>
  </w:num>
  <w:num w:numId="29" w16cid:durableId="1620063973">
    <w:abstractNumId w:val="18"/>
  </w:num>
  <w:num w:numId="30" w16cid:durableId="43068557">
    <w:abstractNumId w:val="11"/>
  </w:num>
  <w:num w:numId="31" w16cid:durableId="253633117">
    <w:abstractNumId w:val="37"/>
  </w:num>
  <w:num w:numId="32" w16cid:durableId="308873773">
    <w:abstractNumId w:val="8"/>
  </w:num>
  <w:num w:numId="33" w16cid:durableId="155852781">
    <w:abstractNumId w:val="29"/>
  </w:num>
  <w:num w:numId="34" w16cid:durableId="319231661">
    <w:abstractNumId w:val="12"/>
  </w:num>
  <w:num w:numId="35" w16cid:durableId="1980064558">
    <w:abstractNumId w:val="33"/>
  </w:num>
  <w:num w:numId="36" w16cid:durableId="607783882">
    <w:abstractNumId w:val="34"/>
  </w:num>
  <w:num w:numId="37" w16cid:durableId="1532499936">
    <w:abstractNumId w:val="35"/>
  </w:num>
  <w:num w:numId="38" w16cid:durableId="1169903653">
    <w:abstractNumId w:val="31"/>
  </w:num>
  <w:num w:numId="39" w16cid:durableId="621033029">
    <w:abstractNumId w:val="17"/>
  </w:num>
  <w:num w:numId="40" w16cid:durableId="1034188063">
    <w:abstractNumId w:val="32"/>
  </w:num>
  <w:num w:numId="41" w16cid:durableId="284821414">
    <w:abstractNumId w:val="13"/>
  </w:num>
  <w:num w:numId="42" w16cid:durableId="1524201334">
    <w:abstractNumId w:val="23"/>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nkel, Jeremy">
    <w15:presenceInfo w15:providerId="AD" w15:userId="S::jhenkel@ohio.edu::efecd5b3-1fba-4ad2-a499-187d98c592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SwNDE0tTAyNTK1MDVT0lEKTi0uzszPAykwMq4FAC0W7wUtAAAA"/>
  </w:docVars>
  <w:rsids>
    <w:rsidRoot w:val="00B47730"/>
    <w:rsid w:val="00000691"/>
    <w:rsid w:val="00015ADE"/>
    <w:rsid w:val="0002009F"/>
    <w:rsid w:val="00034616"/>
    <w:rsid w:val="00034CFD"/>
    <w:rsid w:val="00036614"/>
    <w:rsid w:val="000470BF"/>
    <w:rsid w:val="0006063C"/>
    <w:rsid w:val="000862F6"/>
    <w:rsid w:val="000B570E"/>
    <w:rsid w:val="000D52C1"/>
    <w:rsid w:val="000F3FB4"/>
    <w:rsid w:val="0010475F"/>
    <w:rsid w:val="00107238"/>
    <w:rsid w:val="001104FD"/>
    <w:rsid w:val="0015074B"/>
    <w:rsid w:val="00155AF5"/>
    <w:rsid w:val="00180EDF"/>
    <w:rsid w:val="00184EC9"/>
    <w:rsid w:val="00191F92"/>
    <w:rsid w:val="0019507A"/>
    <w:rsid w:val="00197910"/>
    <w:rsid w:val="001A7990"/>
    <w:rsid w:val="001B0B6D"/>
    <w:rsid w:val="001C53B1"/>
    <w:rsid w:val="001E068D"/>
    <w:rsid w:val="001E099A"/>
    <w:rsid w:val="001E48D9"/>
    <w:rsid w:val="001F18F1"/>
    <w:rsid w:val="001F792A"/>
    <w:rsid w:val="0020723C"/>
    <w:rsid w:val="00227EC5"/>
    <w:rsid w:val="00236CC2"/>
    <w:rsid w:val="00244DAC"/>
    <w:rsid w:val="00262BF2"/>
    <w:rsid w:val="00292212"/>
    <w:rsid w:val="0029639D"/>
    <w:rsid w:val="002B4F01"/>
    <w:rsid w:val="002C11B7"/>
    <w:rsid w:val="002C3B37"/>
    <w:rsid w:val="002C4B89"/>
    <w:rsid w:val="002D55B3"/>
    <w:rsid w:val="002F1258"/>
    <w:rsid w:val="003102B3"/>
    <w:rsid w:val="00315AE1"/>
    <w:rsid w:val="00326F90"/>
    <w:rsid w:val="0035269D"/>
    <w:rsid w:val="0035798D"/>
    <w:rsid w:val="0036050D"/>
    <w:rsid w:val="0037176F"/>
    <w:rsid w:val="00377409"/>
    <w:rsid w:val="00391211"/>
    <w:rsid w:val="003976E2"/>
    <w:rsid w:val="003A3016"/>
    <w:rsid w:val="003B0E7D"/>
    <w:rsid w:val="003B74A9"/>
    <w:rsid w:val="003D58F2"/>
    <w:rsid w:val="003E7405"/>
    <w:rsid w:val="0041162A"/>
    <w:rsid w:val="004133B5"/>
    <w:rsid w:val="00422BA1"/>
    <w:rsid w:val="00466E90"/>
    <w:rsid w:val="0048144C"/>
    <w:rsid w:val="00486AA8"/>
    <w:rsid w:val="004E77C0"/>
    <w:rsid w:val="004F0257"/>
    <w:rsid w:val="004F3EB0"/>
    <w:rsid w:val="005025EA"/>
    <w:rsid w:val="00537BDC"/>
    <w:rsid w:val="00540F77"/>
    <w:rsid w:val="00543774"/>
    <w:rsid w:val="00563885"/>
    <w:rsid w:val="0057258B"/>
    <w:rsid w:val="00586231"/>
    <w:rsid w:val="005C0DA6"/>
    <w:rsid w:val="005D3E8E"/>
    <w:rsid w:val="005D4E11"/>
    <w:rsid w:val="005D5835"/>
    <w:rsid w:val="005D6F2B"/>
    <w:rsid w:val="005F0899"/>
    <w:rsid w:val="006050D7"/>
    <w:rsid w:val="006120A8"/>
    <w:rsid w:val="00617532"/>
    <w:rsid w:val="0063275B"/>
    <w:rsid w:val="00650C88"/>
    <w:rsid w:val="0067148B"/>
    <w:rsid w:val="0067635C"/>
    <w:rsid w:val="006848F3"/>
    <w:rsid w:val="00693EE4"/>
    <w:rsid w:val="006960A2"/>
    <w:rsid w:val="00696FA9"/>
    <w:rsid w:val="00697405"/>
    <w:rsid w:val="00697D3E"/>
    <w:rsid w:val="006A4EF6"/>
    <w:rsid w:val="006C28CC"/>
    <w:rsid w:val="006D1617"/>
    <w:rsid w:val="006E3CA3"/>
    <w:rsid w:val="0070419D"/>
    <w:rsid w:val="00747BEC"/>
    <w:rsid w:val="007614EB"/>
    <w:rsid w:val="007670B2"/>
    <w:rsid w:val="00793C62"/>
    <w:rsid w:val="00797D53"/>
    <w:rsid w:val="007A20D2"/>
    <w:rsid w:val="007B5011"/>
    <w:rsid w:val="007B7815"/>
    <w:rsid w:val="007C1722"/>
    <w:rsid w:val="007E08F6"/>
    <w:rsid w:val="007E5D2D"/>
    <w:rsid w:val="007F3230"/>
    <w:rsid w:val="008200EE"/>
    <w:rsid w:val="00820235"/>
    <w:rsid w:val="008206C4"/>
    <w:rsid w:val="00820919"/>
    <w:rsid w:val="00827F88"/>
    <w:rsid w:val="0083257A"/>
    <w:rsid w:val="0083716C"/>
    <w:rsid w:val="00841B76"/>
    <w:rsid w:val="00842673"/>
    <w:rsid w:val="00855999"/>
    <w:rsid w:val="00871711"/>
    <w:rsid w:val="00872AA5"/>
    <w:rsid w:val="00875BEA"/>
    <w:rsid w:val="00880C05"/>
    <w:rsid w:val="00882838"/>
    <w:rsid w:val="008840EA"/>
    <w:rsid w:val="00892B48"/>
    <w:rsid w:val="00896D95"/>
    <w:rsid w:val="008A17F1"/>
    <w:rsid w:val="008B62F6"/>
    <w:rsid w:val="008C0277"/>
    <w:rsid w:val="008C3BFC"/>
    <w:rsid w:val="00925BF6"/>
    <w:rsid w:val="00944542"/>
    <w:rsid w:val="00961FEB"/>
    <w:rsid w:val="0097575B"/>
    <w:rsid w:val="009763E3"/>
    <w:rsid w:val="00976411"/>
    <w:rsid w:val="00976E28"/>
    <w:rsid w:val="00985319"/>
    <w:rsid w:val="009A6BA9"/>
    <w:rsid w:val="009B631A"/>
    <w:rsid w:val="009C26A7"/>
    <w:rsid w:val="009C32AD"/>
    <w:rsid w:val="009C78C4"/>
    <w:rsid w:val="009D1A98"/>
    <w:rsid w:val="00A06DD0"/>
    <w:rsid w:val="00A325E7"/>
    <w:rsid w:val="00A34694"/>
    <w:rsid w:val="00A35BD9"/>
    <w:rsid w:val="00A557E7"/>
    <w:rsid w:val="00A71BA5"/>
    <w:rsid w:val="00A84C45"/>
    <w:rsid w:val="00A90126"/>
    <w:rsid w:val="00AA1D8D"/>
    <w:rsid w:val="00AB5081"/>
    <w:rsid w:val="00AC27E2"/>
    <w:rsid w:val="00AC7641"/>
    <w:rsid w:val="00AD0AFE"/>
    <w:rsid w:val="00AD530A"/>
    <w:rsid w:val="00AE1F1D"/>
    <w:rsid w:val="00AE50B9"/>
    <w:rsid w:val="00AF73D7"/>
    <w:rsid w:val="00B2010B"/>
    <w:rsid w:val="00B41129"/>
    <w:rsid w:val="00B47730"/>
    <w:rsid w:val="00B5416B"/>
    <w:rsid w:val="00B557EB"/>
    <w:rsid w:val="00B71D55"/>
    <w:rsid w:val="00B745A4"/>
    <w:rsid w:val="00B80E45"/>
    <w:rsid w:val="00B9081A"/>
    <w:rsid w:val="00B9087A"/>
    <w:rsid w:val="00BB4754"/>
    <w:rsid w:val="00BB53E3"/>
    <w:rsid w:val="00BD2383"/>
    <w:rsid w:val="00BE3B71"/>
    <w:rsid w:val="00BE5EB5"/>
    <w:rsid w:val="00BE6DD5"/>
    <w:rsid w:val="00BF7AEC"/>
    <w:rsid w:val="00C00D5C"/>
    <w:rsid w:val="00C1515B"/>
    <w:rsid w:val="00C35C60"/>
    <w:rsid w:val="00C626B4"/>
    <w:rsid w:val="00C63B0D"/>
    <w:rsid w:val="00C673B5"/>
    <w:rsid w:val="00C820DE"/>
    <w:rsid w:val="00CA07E5"/>
    <w:rsid w:val="00CB0664"/>
    <w:rsid w:val="00CE138A"/>
    <w:rsid w:val="00D03803"/>
    <w:rsid w:val="00D07058"/>
    <w:rsid w:val="00D22552"/>
    <w:rsid w:val="00D26C55"/>
    <w:rsid w:val="00D35372"/>
    <w:rsid w:val="00D36495"/>
    <w:rsid w:val="00D37DD9"/>
    <w:rsid w:val="00D42D35"/>
    <w:rsid w:val="00D5187A"/>
    <w:rsid w:val="00D6699A"/>
    <w:rsid w:val="00D827EC"/>
    <w:rsid w:val="00D86A4C"/>
    <w:rsid w:val="00D87881"/>
    <w:rsid w:val="00D92F4E"/>
    <w:rsid w:val="00D94FBC"/>
    <w:rsid w:val="00DA7814"/>
    <w:rsid w:val="00DB1D1D"/>
    <w:rsid w:val="00DC5CED"/>
    <w:rsid w:val="00DC612E"/>
    <w:rsid w:val="00DE1C89"/>
    <w:rsid w:val="00E32E60"/>
    <w:rsid w:val="00E44111"/>
    <w:rsid w:val="00E446CB"/>
    <w:rsid w:val="00E45648"/>
    <w:rsid w:val="00E54AF7"/>
    <w:rsid w:val="00E55BC9"/>
    <w:rsid w:val="00E718BC"/>
    <w:rsid w:val="00E865ED"/>
    <w:rsid w:val="00EA2C02"/>
    <w:rsid w:val="00EC40EC"/>
    <w:rsid w:val="00EC5043"/>
    <w:rsid w:val="00EC696E"/>
    <w:rsid w:val="00ED2115"/>
    <w:rsid w:val="00F0796A"/>
    <w:rsid w:val="00F116F3"/>
    <w:rsid w:val="00F132D8"/>
    <w:rsid w:val="00F14435"/>
    <w:rsid w:val="00F32BD6"/>
    <w:rsid w:val="00F41A24"/>
    <w:rsid w:val="00F46111"/>
    <w:rsid w:val="00F620DB"/>
    <w:rsid w:val="00F64931"/>
    <w:rsid w:val="00F70601"/>
    <w:rsid w:val="00F874F3"/>
    <w:rsid w:val="00FA1865"/>
    <w:rsid w:val="00FA6553"/>
    <w:rsid w:val="00FB2743"/>
    <w:rsid w:val="00FC693F"/>
    <w:rsid w:val="00FD30B4"/>
    <w:rsid w:val="01BA0ABC"/>
    <w:rsid w:val="023FD2D1"/>
    <w:rsid w:val="0667F3B4"/>
    <w:rsid w:val="09FD3D92"/>
    <w:rsid w:val="0CC3D87A"/>
    <w:rsid w:val="0E045A29"/>
    <w:rsid w:val="103FF299"/>
    <w:rsid w:val="122DE2BE"/>
    <w:rsid w:val="12418110"/>
    <w:rsid w:val="14B79C40"/>
    <w:rsid w:val="17857F81"/>
    <w:rsid w:val="1A3C7E60"/>
    <w:rsid w:val="1EE00F6A"/>
    <w:rsid w:val="21E136DE"/>
    <w:rsid w:val="25A69848"/>
    <w:rsid w:val="25EDFC09"/>
    <w:rsid w:val="298D4C00"/>
    <w:rsid w:val="2C551B2F"/>
    <w:rsid w:val="2F6E7C47"/>
    <w:rsid w:val="2FB11F23"/>
    <w:rsid w:val="31CEC7EE"/>
    <w:rsid w:val="326B253F"/>
    <w:rsid w:val="36160B71"/>
    <w:rsid w:val="361AA081"/>
    <w:rsid w:val="3A5C98EC"/>
    <w:rsid w:val="41617338"/>
    <w:rsid w:val="42014CDD"/>
    <w:rsid w:val="45C057DD"/>
    <w:rsid w:val="4943ECFC"/>
    <w:rsid w:val="495486B8"/>
    <w:rsid w:val="4A713DE4"/>
    <w:rsid w:val="4D24E722"/>
    <w:rsid w:val="4DCDFBC2"/>
    <w:rsid w:val="51B95C3A"/>
    <w:rsid w:val="5696006D"/>
    <w:rsid w:val="587EED31"/>
    <w:rsid w:val="5E2FC1FF"/>
    <w:rsid w:val="630043A8"/>
    <w:rsid w:val="651BE709"/>
    <w:rsid w:val="68AC08D7"/>
    <w:rsid w:val="68D3CDDC"/>
    <w:rsid w:val="6B84354A"/>
    <w:rsid w:val="6D475FDB"/>
    <w:rsid w:val="7065DD7D"/>
    <w:rsid w:val="7F803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FB2A47"/>
  <w14:defaultImageDpi w14:val="300"/>
  <w15:docId w15:val="{89EE1C40-23BB-4C5C-A45E-6CC699D19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B48"/>
  </w:style>
  <w:style w:type="paragraph" w:styleId="Heading1">
    <w:name w:val="heading 1"/>
    <w:basedOn w:val="Normal"/>
    <w:next w:val="Normal"/>
    <w:link w:val="Heading1Char"/>
    <w:uiPriority w:val="9"/>
    <w:qFormat/>
    <w:rsid w:val="00892B48"/>
    <w:pPr>
      <w:keepNext/>
      <w:keepLines/>
      <w:numPr>
        <w:numId w:val="16"/>
      </w:numPr>
      <w:pBdr>
        <w:bottom w:val="single" w:sz="4" w:space="1" w:color="595959" w:themeColor="text1" w:themeTint="A6"/>
      </w:pBdr>
      <w:spacing w:before="360"/>
      <w:ind w:left="432"/>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892B48"/>
    <w:pPr>
      <w:keepNext/>
      <w:keepLines/>
      <w:numPr>
        <w:ilvl w:val="1"/>
        <w:numId w:val="16"/>
      </w:numPr>
      <w:spacing w:before="360" w:after="0"/>
      <w:ind w:left="576"/>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7F3230"/>
    <w:pPr>
      <w:keepNext/>
      <w:keepLines/>
      <w:numPr>
        <w:ilvl w:val="2"/>
        <w:numId w:val="16"/>
      </w:numPr>
      <w:spacing w:before="200" w:after="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semiHidden/>
    <w:unhideWhenUsed/>
    <w:qFormat/>
    <w:rsid w:val="00892B48"/>
    <w:pPr>
      <w:keepNext/>
      <w:keepLines/>
      <w:numPr>
        <w:ilvl w:val="3"/>
        <w:numId w:val="16"/>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892B48"/>
    <w:pPr>
      <w:keepNext/>
      <w:keepLines/>
      <w:numPr>
        <w:ilvl w:val="4"/>
        <w:numId w:val="16"/>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semiHidden/>
    <w:unhideWhenUsed/>
    <w:qFormat/>
    <w:rsid w:val="00892B48"/>
    <w:pPr>
      <w:keepNext/>
      <w:keepLines/>
      <w:numPr>
        <w:ilvl w:val="5"/>
        <w:numId w:val="16"/>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semiHidden/>
    <w:unhideWhenUsed/>
    <w:qFormat/>
    <w:rsid w:val="00892B48"/>
    <w:pPr>
      <w:keepNext/>
      <w:keepLines/>
      <w:numPr>
        <w:ilvl w:val="6"/>
        <w:numId w:val="1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92B48"/>
    <w:pPr>
      <w:keepNext/>
      <w:keepLines/>
      <w:numPr>
        <w:ilvl w:val="7"/>
        <w:numId w:val="1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92B48"/>
    <w:pPr>
      <w:keepNext/>
      <w:keepLines/>
      <w:numPr>
        <w:ilvl w:val="8"/>
        <w:numId w:val="1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892B48"/>
    <w:pPr>
      <w:spacing w:after="0" w:line="240" w:lineRule="auto"/>
    </w:pPr>
  </w:style>
  <w:style w:type="character" w:customStyle="1" w:styleId="Heading1Char">
    <w:name w:val="Heading 1 Char"/>
    <w:basedOn w:val="DefaultParagraphFont"/>
    <w:link w:val="Heading1"/>
    <w:uiPriority w:val="9"/>
    <w:rsid w:val="00892B48"/>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892B48"/>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7F3230"/>
    <w:rPr>
      <w:rFonts w:asciiTheme="majorHAnsi" w:eastAsiaTheme="majorEastAsia" w:hAnsiTheme="majorHAnsi" w:cstheme="majorBidi"/>
      <w:b/>
      <w:bCs/>
      <w:color w:val="000000" w:themeColor="text1"/>
      <w:sz w:val="24"/>
    </w:rPr>
  </w:style>
  <w:style w:type="paragraph" w:styleId="Title">
    <w:name w:val="Title"/>
    <w:basedOn w:val="Normal"/>
    <w:next w:val="Normal"/>
    <w:link w:val="TitleChar"/>
    <w:uiPriority w:val="10"/>
    <w:qFormat/>
    <w:rsid w:val="00892B48"/>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892B48"/>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892B48"/>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892B48"/>
    <w:rPr>
      <w:color w:val="5A5A5A" w:themeColor="text1" w:themeTint="A5"/>
      <w:spacing w:val="10"/>
    </w:rPr>
  </w:style>
  <w:style w:type="paragraph" w:styleId="ListParagraph">
    <w:name w:val="List Paragraph"/>
    <w:basedOn w:val="Normal"/>
    <w:uiPriority w:val="34"/>
    <w:qFormat/>
    <w:rsid w:val="00F32BD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892B48"/>
    <w:pPr>
      <w:spacing w:before="160"/>
      <w:ind w:left="720" w:right="720"/>
    </w:pPr>
    <w:rPr>
      <w:i/>
      <w:iCs/>
      <w:color w:val="000000" w:themeColor="text1"/>
    </w:rPr>
  </w:style>
  <w:style w:type="character" w:customStyle="1" w:styleId="QuoteChar">
    <w:name w:val="Quote Char"/>
    <w:basedOn w:val="DefaultParagraphFont"/>
    <w:link w:val="Quote"/>
    <w:uiPriority w:val="29"/>
    <w:rsid w:val="00892B48"/>
    <w:rPr>
      <w:i/>
      <w:iCs/>
      <w:color w:val="000000" w:themeColor="text1"/>
    </w:rPr>
  </w:style>
  <w:style w:type="character" w:customStyle="1" w:styleId="Heading4Char">
    <w:name w:val="Heading 4 Char"/>
    <w:basedOn w:val="DefaultParagraphFont"/>
    <w:link w:val="Heading4"/>
    <w:uiPriority w:val="9"/>
    <w:semiHidden/>
    <w:rsid w:val="00892B48"/>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892B48"/>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semiHidden/>
    <w:rsid w:val="00892B48"/>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semiHidden/>
    <w:rsid w:val="00892B4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92B4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92B4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892B48"/>
    <w:pPr>
      <w:spacing w:after="200" w:line="240" w:lineRule="auto"/>
    </w:pPr>
    <w:rPr>
      <w:i/>
      <w:iCs/>
      <w:color w:val="1F497D" w:themeColor="text2"/>
      <w:sz w:val="18"/>
      <w:szCs w:val="18"/>
    </w:rPr>
  </w:style>
  <w:style w:type="character" w:styleId="Strong">
    <w:name w:val="Strong"/>
    <w:basedOn w:val="DefaultParagraphFont"/>
    <w:uiPriority w:val="22"/>
    <w:qFormat/>
    <w:rsid w:val="00892B48"/>
    <w:rPr>
      <w:b/>
      <w:bCs/>
      <w:color w:val="000000" w:themeColor="text1"/>
    </w:rPr>
  </w:style>
  <w:style w:type="character" w:styleId="Emphasis">
    <w:name w:val="Emphasis"/>
    <w:basedOn w:val="DefaultParagraphFont"/>
    <w:uiPriority w:val="20"/>
    <w:qFormat/>
    <w:rsid w:val="00892B48"/>
    <w:rPr>
      <w:i/>
      <w:iCs/>
      <w:color w:val="auto"/>
    </w:rPr>
  </w:style>
  <w:style w:type="paragraph" w:styleId="IntenseQuote">
    <w:name w:val="Intense Quote"/>
    <w:basedOn w:val="Normal"/>
    <w:next w:val="Normal"/>
    <w:link w:val="IntenseQuoteChar"/>
    <w:uiPriority w:val="30"/>
    <w:qFormat/>
    <w:rsid w:val="0083257A"/>
    <w:pPr>
      <w:pBdr>
        <w:top w:val="single" w:sz="24" w:space="1" w:color="F2F2F2" w:themeColor="background1" w:themeShade="F2"/>
        <w:bottom w:val="single" w:sz="24" w:space="1" w:color="F2F2F2" w:themeColor="background1" w:themeShade="F2"/>
      </w:pBdr>
      <w:shd w:val="clear" w:color="auto" w:fill="F2F2F2" w:themeFill="background1" w:themeFillShade="F2"/>
      <w:spacing w:after="0" w:line="240" w:lineRule="auto"/>
      <w:ind w:left="432" w:right="432"/>
      <w:jc w:val="center"/>
    </w:pPr>
    <w:rPr>
      <w:b/>
      <w:color w:val="000000" w:themeColor="text1"/>
      <w:sz w:val="32"/>
    </w:rPr>
  </w:style>
  <w:style w:type="character" w:customStyle="1" w:styleId="IntenseQuoteChar">
    <w:name w:val="Intense Quote Char"/>
    <w:basedOn w:val="DefaultParagraphFont"/>
    <w:link w:val="IntenseQuote"/>
    <w:uiPriority w:val="30"/>
    <w:rsid w:val="0083257A"/>
    <w:rPr>
      <w:b/>
      <w:color w:val="000000" w:themeColor="text1"/>
      <w:sz w:val="32"/>
      <w:shd w:val="clear" w:color="auto" w:fill="F2F2F2" w:themeFill="background1" w:themeFillShade="F2"/>
    </w:rPr>
  </w:style>
  <w:style w:type="character" w:styleId="SubtleEmphasis">
    <w:name w:val="Subtle Emphasis"/>
    <w:basedOn w:val="DefaultParagraphFont"/>
    <w:uiPriority w:val="19"/>
    <w:qFormat/>
    <w:rsid w:val="00892B48"/>
    <w:rPr>
      <w:i/>
      <w:iCs/>
      <w:color w:val="404040" w:themeColor="text1" w:themeTint="BF"/>
    </w:rPr>
  </w:style>
  <w:style w:type="character" w:styleId="IntenseEmphasis">
    <w:name w:val="Intense Emphasis"/>
    <w:basedOn w:val="DefaultParagraphFont"/>
    <w:uiPriority w:val="21"/>
    <w:qFormat/>
    <w:rsid w:val="00892B48"/>
    <w:rPr>
      <w:b/>
      <w:bCs/>
      <w:i/>
      <w:iCs/>
      <w:caps/>
    </w:rPr>
  </w:style>
  <w:style w:type="character" w:styleId="SubtleReference">
    <w:name w:val="Subtle Reference"/>
    <w:basedOn w:val="DefaultParagraphFont"/>
    <w:uiPriority w:val="31"/>
    <w:qFormat/>
    <w:rsid w:val="00892B4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92B48"/>
    <w:rPr>
      <w:b/>
      <w:bCs/>
      <w:smallCaps/>
      <w:u w:val="single"/>
    </w:rPr>
  </w:style>
  <w:style w:type="character" w:styleId="BookTitle">
    <w:name w:val="Book Title"/>
    <w:basedOn w:val="DefaultParagraphFont"/>
    <w:uiPriority w:val="33"/>
    <w:qFormat/>
    <w:rsid w:val="00892B48"/>
    <w:rPr>
      <w:b w:val="0"/>
      <w:bCs w:val="0"/>
      <w:smallCaps/>
      <w:spacing w:val="5"/>
    </w:rPr>
  </w:style>
  <w:style w:type="paragraph" w:styleId="TOCHeading">
    <w:name w:val="TOC Heading"/>
    <w:basedOn w:val="Heading1"/>
    <w:next w:val="Normal"/>
    <w:uiPriority w:val="39"/>
    <w:semiHidden/>
    <w:unhideWhenUsed/>
    <w:qFormat/>
    <w:rsid w:val="00892B48"/>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04D35" w:themeColor="accent1" w:themeShade="BF"/>
    </w:rPr>
    <w:tblPr>
      <w:tblStyleRowBandSize w:val="1"/>
      <w:tblStyleColBandSize w:val="1"/>
      <w:tblBorders>
        <w:top w:val="single" w:sz="8" w:space="0" w:color="006848" w:themeColor="accent1"/>
        <w:bottom w:val="single" w:sz="8" w:space="0" w:color="006848" w:themeColor="accent1"/>
      </w:tblBorders>
    </w:tblPr>
    <w:tblStylePr w:type="firstRow">
      <w:pPr>
        <w:spacing w:before="0" w:after="0" w:line="240" w:lineRule="auto"/>
      </w:pPr>
      <w:rPr>
        <w:b/>
        <w:bCs/>
      </w:rPr>
      <w:tblPr/>
      <w:tcPr>
        <w:tcBorders>
          <w:top w:val="single" w:sz="8" w:space="0" w:color="006848" w:themeColor="accent1"/>
          <w:left w:val="nil"/>
          <w:bottom w:val="single" w:sz="8" w:space="0" w:color="006848" w:themeColor="accent1"/>
          <w:right w:val="nil"/>
          <w:insideH w:val="nil"/>
          <w:insideV w:val="nil"/>
        </w:tcBorders>
      </w:tcPr>
    </w:tblStylePr>
    <w:tblStylePr w:type="lastRow">
      <w:pPr>
        <w:spacing w:before="0" w:after="0" w:line="240" w:lineRule="auto"/>
      </w:pPr>
      <w:rPr>
        <w:b/>
        <w:bCs/>
      </w:rPr>
      <w:tblPr/>
      <w:tcPr>
        <w:tcBorders>
          <w:top w:val="single" w:sz="8" w:space="0" w:color="006848" w:themeColor="accent1"/>
          <w:left w:val="nil"/>
          <w:bottom w:val="single" w:sz="8" w:space="0" w:color="00684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DF" w:themeFill="accent1" w:themeFillTint="3F"/>
      </w:tcPr>
    </w:tblStylePr>
    <w:tblStylePr w:type="band1Horz">
      <w:tblPr/>
      <w:tcPr>
        <w:tcBorders>
          <w:left w:val="nil"/>
          <w:right w:val="nil"/>
          <w:insideH w:val="nil"/>
          <w:insideV w:val="nil"/>
        </w:tcBorders>
        <w:shd w:val="clear" w:color="auto" w:fill="9AFFDF" w:themeFill="accent1" w:themeFillTint="3F"/>
      </w:tcPr>
    </w:tblStylePr>
  </w:style>
  <w:style w:type="table" w:styleId="LightShading-Accent2">
    <w:name w:val="Light Shading Accent 2"/>
    <w:basedOn w:val="TableNormal"/>
    <w:uiPriority w:val="60"/>
    <w:rsid w:val="00FC693F"/>
    <w:pPr>
      <w:spacing w:after="0" w:line="240" w:lineRule="auto"/>
    </w:pPr>
    <w:rPr>
      <w:color w:val="59524B" w:themeColor="accent2" w:themeShade="BF"/>
    </w:rPr>
    <w:tblPr>
      <w:tblStyleRowBandSize w:val="1"/>
      <w:tblStyleColBandSize w:val="1"/>
      <w:tblBorders>
        <w:top w:val="single" w:sz="8" w:space="0" w:color="776E64" w:themeColor="accent2"/>
        <w:bottom w:val="single" w:sz="8" w:space="0" w:color="776E64" w:themeColor="accent2"/>
      </w:tblBorders>
    </w:tblPr>
    <w:tblStylePr w:type="firstRow">
      <w:pPr>
        <w:spacing w:before="0" w:after="0" w:line="240" w:lineRule="auto"/>
      </w:pPr>
      <w:rPr>
        <w:b/>
        <w:bCs/>
      </w:rPr>
      <w:tblPr/>
      <w:tcPr>
        <w:tcBorders>
          <w:top w:val="single" w:sz="8" w:space="0" w:color="776E64" w:themeColor="accent2"/>
          <w:left w:val="nil"/>
          <w:bottom w:val="single" w:sz="8" w:space="0" w:color="776E64" w:themeColor="accent2"/>
          <w:right w:val="nil"/>
          <w:insideH w:val="nil"/>
          <w:insideV w:val="nil"/>
        </w:tcBorders>
      </w:tcPr>
    </w:tblStylePr>
    <w:tblStylePr w:type="lastRow">
      <w:pPr>
        <w:spacing w:before="0" w:after="0" w:line="240" w:lineRule="auto"/>
      </w:pPr>
      <w:rPr>
        <w:b/>
        <w:bCs/>
      </w:rPr>
      <w:tblPr/>
      <w:tcPr>
        <w:tcBorders>
          <w:top w:val="single" w:sz="8" w:space="0" w:color="776E64" w:themeColor="accent2"/>
          <w:left w:val="nil"/>
          <w:bottom w:val="single" w:sz="8" w:space="0" w:color="776E6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DBD7" w:themeFill="accent2" w:themeFillTint="3F"/>
      </w:tcPr>
    </w:tblStylePr>
    <w:tblStylePr w:type="band1Horz">
      <w:tblPr/>
      <w:tcPr>
        <w:tcBorders>
          <w:left w:val="nil"/>
          <w:right w:val="nil"/>
          <w:insideH w:val="nil"/>
          <w:insideV w:val="nil"/>
        </w:tcBorders>
        <w:shd w:val="clear" w:color="auto" w:fill="DEDBD7" w:themeFill="accent2" w:themeFillTint="3F"/>
      </w:tcPr>
    </w:tblStylePr>
  </w:style>
  <w:style w:type="table" w:styleId="LightShading-Accent3">
    <w:name w:val="Light Shading Accent 3"/>
    <w:basedOn w:val="TableNormal"/>
    <w:uiPriority w:val="60"/>
    <w:rsid w:val="00FC693F"/>
    <w:pPr>
      <w:spacing w:after="0" w:line="240" w:lineRule="auto"/>
    </w:pPr>
    <w:rPr>
      <w:color w:val="013123" w:themeColor="accent3" w:themeShade="BF"/>
    </w:rPr>
    <w:tblPr>
      <w:tblStyleRowBandSize w:val="1"/>
      <w:tblStyleColBandSize w:val="1"/>
      <w:tblBorders>
        <w:top w:val="single" w:sz="8" w:space="0" w:color="024230" w:themeColor="accent3"/>
        <w:bottom w:val="single" w:sz="8" w:space="0" w:color="024230" w:themeColor="accent3"/>
      </w:tblBorders>
    </w:tblPr>
    <w:tblStylePr w:type="firstRow">
      <w:pPr>
        <w:spacing w:before="0" w:after="0" w:line="240" w:lineRule="auto"/>
      </w:pPr>
      <w:rPr>
        <w:b/>
        <w:bCs/>
      </w:rPr>
      <w:tblPr/>
      <w:tcPr>
        <w:tcBorders>
          <w:top w:val="single" w:sz="8" w:space="0" w:color="024230" w:themeColor="accent3"/>
          <w:left w:val="nil"/>
          <w:bottom w:val="single" w:sz="8" w:space="0" w:color="024230" w:themeColor="accent3"/>
          <w:right w:val="nil"/>
          <w:insideH w:val="nil"/>
          <w:insideV w:val="nil"/>
        </w:tcBorders>
      </w:tcPr>
    </w:tblStylePr>
    <w:tblStylePr w:type="lastRow">
      <w:pPr>
        <w:spacing w:before="0" w:after="0" w:line="240" w:lineRule="auto"/>
      </w:pPr>
      <w:rPr>
        <w:b/>
        <w:bCs/>
      </w:rPr>
      <w:tblPr/>
      <w:tcPr>
        <w:tcBorders>
          <w:top w:val="single" w:sz="8" w:space="0" w:color="024230" w:themeColor="accent3"/>
          <w:left w:val="nil"/>
          <w:bottom w:val="single" w:sz="8" w:space="0" w:color="02423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FBDE" w:themeFill="accent3" w:themeFillTint="3F"/>
      </w:tcPr>
    </w:tblStylePr>
    <w:tblStylePr w:type="band1Horz">
      <w:tblPr/>
      <w:tcPr>
        <w:tcBorders>
          <w:left w:val="nil"/>
          <w:right w:val="nil"/>
          <w:insideH w:val="nil"/>
          <w:insideV w:val="nil"/>
        </w:tcBorders>
        <w:shd w:val="clear" w:color="auto" w:fill="94FBDE" w:themeFill="accent3" w:themeFillTint="3F"/>
      </w:tcPr>
    </w:tblStylePr>
  </w:style>
  <w:style w:type="table" w:styleId="LightShading-Accent4">
    <w:name w:val="Light Shading Accent 4"/>
    <w:basedOn w:val="TableNormal"/>
    <w:uiPriority w:val="60"/>
    <w:rsid w:val="00FC693F"/>
    <w:pPr>
      <w:spacing w:after="0" w:line="240" w:lineRule="auto"/>
    </w:pPr>
    <w:rPr>
      <w:color w:val="3C3835" w:themeColor="accent4" w:themeShade="BF"/>
    </w:rPr>
    <w:tblPr>
      <w:tblStyleRowBandSize w:val="1"/>
      <w:tblStyleColBandSize w:val="1"/>
      <w:tblBorders>
        <w:top w:val="single" w:sz="8" w:space="0" w:color="514C47" w:themeColor="accent4"/>
        <w:bottom w:val="single" w:sz="8" w:space="0" w:color="514C47" w:themeColor="accent4"/>
      </w:tblBorders>
    </w:tblPr>
    <w:tblStylePr w:type="firstRow">
      <w:pPr>
        <w:spacing w:before="0" w:after="0" w:line="240" w:lineRule="auto"/>
      </w:pPr>
      <w:rPr>
        <w:b/>
        <w:bCs/>
      </w:rPr>
      <w:tblPr/>
      <w:tcPr>
        <w:tcBorders>
          <w:top w:val="single" w:sz="8" w:space="0" w:color="514C47" w:themeColor="accent4"/>
          <w:left w:val="nil"/>
          <w:bottom w:val="single" w:sz="8" w:space="0" w:color="514C47" w:themeColor="accent4"/>
          <w:right w:val="nil"/>
          <w:insideH w:val="nil"/>
          <w:insideV w:val="nil"/>
        </w:tcBorders>
      </w:tcPr>
    </w:tblStylePr>
    <w:tblStylePr w:type="lastRow">
      <w:pPr>
        <w:spacing w:before="0" w:after="0" w:line="240" w:lineRule="auto"/>
      </w:pPr>
      <w:rPr>
        <w:b/>
        <w:bCs/>
      </w:rPr>
      <w:tblPr/>
      <w:tcPr>
        <w:tcBorders>
          <w:top w:val="single" w:sz="8" w:space="0" w:color="514C47" w:themeColor="accent4"/>
          <w:left w:val="nil"/>
          <w:bottom w:val="single" w:sz="8" w:space="0" w:color="514C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2CF" w:themeFill="accent4" w:themeFillTint="3F"/>
      </w:tcPr>
    </w:tblStylePr>
    <w:tblStylePr w:type="band1Horz">
      <w:tblPr/>
      <w:tcPr>
        <w:tcBorders>
          <w:left w:val="nil"/>
          <w:right w:val="nil"/>
          <w:insideH w:val="nil"/>
          <w:insideV w:val="nil"/>
        </w:tcBorders>
        <w:shd w:val="clear" w:color="auto" w:fill="D5D2CF" w:themeFill="accent4" w:themeFillTint="3F"/>
      </w:tcPr>
    </w:tblStylePr>
  </w:style>
  <w:style w:type="table" w:styleId="LightShading-Accent5">
    <w:name w:val="Light Shading Accent 5"/>
    <w:basedOn w:val="TableNormal"/>
    <w:uiPriority w:val="60"/>
    <w:rsid w:val="00FC693F"/>
    <w:pPr>
      <w:spacing w:after="0" w:line="240" w:lineRule="auto"/>
    </w:pPr>
    <w:rPr>
      <w:color w:val="505B02" w:themeColor="accent5" w:themeShade="BF"/>
    </w:rPr>
    <w:tblPr>
      <w:tblStyleRowBandSize w:val="1"/>
      <w:tblStyleColBandSize w:val="1"/>
      <w:tblBorders>
        <w:top w:val="single" w:sz="8" w:space="0" w:color="6C7A03" w:themeColor="accent5"/>
        <w:bottom w:val="single" w:sz="8" w:space="0" w:color="6C7A03" w:themeColor="accent5"/>
      </w:tblBorders>
    </w:tblPr>
    <w:tblStylePr w:type="firstRow">
      <w:pPr>
        <w:spacing w:before="0" w:after="0" w:line="240" w:lineRule="auto"/>
      </w:pPr>
      <w:rPr>
        <w:b/>
        <w:bCs/>
      </w:rPr>
      <w:tblPr/>
      <w:tcPr>
        <w:tcBorders>
          <w:top w:val="single" w:sz="8" w:space="0" w:color="6C7A03" w:themeColor="accent5"/>
          <w:left w:val="nil"/>
          <w:bottom w:val="single" w:sz="8" w:space="0" w:color="6C7A03" w:themeColor="accent5"/>
          <w:right w:val="nil"/>
          <w:insideH w:val="nil"/>
          <w:insideV w:val="nil"/>
        </w:tcBorders>
      </w:tcPr>
    </w:tblStylePr>
    <w:tblStylePr w:type="lastRow">
      <w:pPr>
        <w:spacing w:before="0" w:after="0" w:line="240" w:lineRule="auto"/>
      </w:pPr>
      <w:rPr>
        <w:b/>
        <w:bCs/>
      </w:rPr>
      <w:tblPr/>
      <w:tcPr>
        <w:tcBorders>
          <w:top w:val="single" w:sz="8" w:space="0" w:color="6C7A03" w:themeColor="accent5"/>
          <w:left w:val="nil"/>
          <w:bottom w:val="single" w:sz="8" w:space="0" w:color="6C7A0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CA1" w:themeFill="accent5" w:themeFillTint="3F"/>
      </w:tcPr>
    </w:tblStylePr>
    <w:tblStylePr w:type="band1Horz">
      <w:tblPr/>
      <w:tcPr>
        <w:tcBorders>
          <w:left w:val="nil"/>
          <w:right w:val="nil"/>
          <w:insideH w:val="nil"/>
          <w:insideV w:val="nil"/>
        </w:tcBorders>
        <w:shd w:val="clear" w:color="auto" w:fill="F2FCA1" w:themeFill="accent5" w:themeFillTint="3F"/>
      </w:tcPr>
    </w:tblStylePr>
  </w:style>
  <w:style w:type="table" w:styleId="LightShading-Accent6">
    <w:name w:val="Light Shading Accent 6"/>
    <w:basedOn w:val="TableNormal"/>
    <w:uiPriority w:val="60"/>
    <w:rsid w:val="00FC693F"/>
    <w:pPr>
      <w:spacing w:after="0" w:line="240" w:lineRule="auto"/>
    </w:pPr>
    <w:rPr>
      <w:color w:val="016A1C" w:themeColor="accent6" w:themeShade="BF"/>
    </w:rPr>
    <w:tblPr>
      <w:tblStyleRowBandSize w:val="1"/>
      <w:tblStyleColBandSize w:val="1"/>
      <w:tblBorders>
        <w:top w:val="single" w:sz="8" w:space="0" w:color="028E26" w:themeColor="accent6"/>
        <w:bottom w:val="single" w:sz="8" w:space="0" w:color="028E26" w:themeColor="accent6"/>
      </w:tblBorders>
    </w:tblPr>
    <w:tblStylePr w:type="firstRow">
      <w:pPr>
        <w:spacing w:before="0" w:after="0" w:line="240" w:lineRule="auto"/>
      </w:pPr>
      <w:rPr>
        <w:b/>
        <w:bCs/>
      </w:rPr>
      <w:tblPr/>
      <w:tcPr>
        <w:tcBorders>
          <w:top w:val="single" w:sz="8" w:space="0" w:color="028E26" w:themeColor="accent6"/>
          <w:left w:val="nil"/>
          <w:bottom w:val="single" w:sz="8" w:space="0" w:color="028E26" w:themeColor="accent6"/>
          <w:right w:val="nil"/>
          <w:insideH w:val="nil"/>
          <w:insideV w:val="nil"/>
        </w:tcBorders>
      </w:tcPr>
    </w:tblStylePr>
    <w:tblStylePr w:type="lastRow">
      <w:pPr>
        <w:spacing w:before="0" w:after="0" w:line="240" w:lineRule="auto"/>
      </w:pPr>
      <w:rPr>
        <w:b/>
        <w:bCs/>
      </w:rPr>
      <w:tblPr/>
      <w:tcPr>
        <w:tcBorders>
          <w:top w:val="single" w:sz="8" w:space="0" w:color="028E26" w:themeColor="accent6"/>
          <w:left w:val="nil"/>
          <w:bottom w:val="single" w:sz="8" w:space="0" w:color="028E2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FDBC" w:themeFill="accent6" w:themeFillTint="3F"/>
      </w:tcPr>
    </w:tblStylePr>
    <w:tblStylePr w:type="band1Horz">
      <w:tblPr/>
      <w:tcPr>
        <w:tcBorders>
          <w:left w:val="nil"/>
          <w:right w:val="nil"/>
          <w:insideH w:val="nil"/>
          <w:insideV w:val="nil"/>
        </w:tcBorders>
        <w:shd w:val="clear" w:color="auto" w:fill="A5FDBC"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006848" w:themeColor="accent1"/>
        <w:left w:val="single" w:sz="8" w:space="0" w:color="006848" w:themeColor="accent1"/>
        <w:bottom w:val="single" w:sz="8" w:space="0" w:color="006848" w:themeColor="accent1"/>
        <w:right w:val="single" w:sz="8" w:space="0" w:color="006848" w:themeColor="accent1"/>
      </w:tblBorders>
    </w:tblPr>
    <w:tblStylePr w:type="firstRow">
      <w:pPr>
        <w:spacing w:before="0" w:after="0" w:line="240" w:lineRule="auto"/>
      </w:pPr>
      <w:rPr>
        <w:b/>
        <w:bCs/>
        <w:color w:val="FFFFFF" w:themeColor="background1"/>
      </w:rPr>
      <w:tblPr/>
      <w:tcPr>
        <w:shd w:val="clear" w:color="auto" w:fill="006848" w:themeFill="accent1"/>
      </w:tcPr>
    </w:tblStylePr>
    <w:tblStylePr w:type="lastRow">
      <w:pPr>
        <w:spacing w:before="0" w:after="0" w:line="240" w:lineRule="auto"/>
      </w:pPr>
      <w:rPr>
        <w:b/>
        <w:bCs/>
      </w:rPr>
      <w:tblPr/>
      <w:tcPr>
        <w:tcBorders>
          <w:top w:val="double" w:sz="6" w:space="0" w:color="006848" w:themeColor="accent1"/>
          <w:left w:val="single" w:sz="8" w:space="0" w:color="006848" w:themeColor="accent1"/>
          <w:bottom w:val="single" w:sz="8" w:space="0" w:color="006848" w:themeColor="accent1"/>
          <w:right w:val="single" w:sz="8" w:space="0" w:color="006848" w:themeColor="accent1"/>
        </w:tcBorders>
      </w:tcPr>
    </w:tblStylePr>
    <w:tblStylePr w:type="firstCol">
      <w:rPr>
        <w:b/>
        <w:bCs/>
      </w:rPr>
    </w:tblStylePr>
    <w:tblStylePr w:type="lastCol">
      <w:rPr>
        <w:b/>
        <w:bCs/>
      </w:rPr>
    </w:tblStylePr>
    <w:tblStylePr w:type="band1Vert">
      <w:tblPr/>
      <w:tcPr>
        <w:tcBorders>
          <w:top w:val="single" w:sz="8" w:space="0" w:color="006848" w:themeColor="accent1"/>
          <w:left w:val="single" w:sz="8" w:space="0" w:color="006848" w:themeColor="accent1"/>
          <w:bottom w:val="single" w:sz="8" w:space="0" w:color="006848" w:themeColor="accent1"/>
          <w:right w:val="single" w:sz="8" w:space="0" w:color="006848" w:themeColor="accent1"/>
        </w:tcBorders>
      </w:tcPr>
    </w:tblStylePr>
    <w:tblStylePr w:type="band1Horz">
      <w:tblPr/>
      <w:tcPr>
        <w:tcBorders>
          <w:top w:val="single" w:sz="8" w:space="0" w:color="006848" w:themeColor="accent1"/>
          <w:left w:val="single" w:sz="8" w:space="0" w:color="006848" w:themeColor="accent1"/>
          <w:bottom w:val="single" w:sz="8" w:space="0" w:color="006848" w:themeColor="accent1"/>
          <w:right w:val="single" w:sz="8" w:space="0" w:color="006848"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776E64" w:themeColor="accent2"/>
        <w:left w:val="single" w:sz="8" w:space="0" w:color="776E64" w:themeColor="accent2"/>
        <w:bottom w:val="single" w:sz="8" w:space="0" w:color="776E64" w:themeColor="accent2"/>
        <w:right w:val="single" w:sz="8" w:space="0" w:color="776E64" w:themeColor="accent2"/>
      </w:tblBorders>
    </w:tblPr>
    <w:tblStylePr w:type="firstRow">
      <w:pPr>
        <w:spacing w:before="0" w:after="0" w:line="240" w:lineRule="auto"/>
      </w:pPr>
      <w:rPr>
        <w:b/>
        <w:bCs/>
        <w:color w:val="FFFFFF" w:themeColor="background1"/>
      </w:rPr>
      <w:tblPr/>
      <w:tcPr>
        <w:shd w:val="clear" w:color="auto" w:fill="776E64" w:themeFill="accent2"/>
      </w:tcPr>
    </w:tblStylePr>
    <w:tblStylePr w:type="lastRow">
      <w:pPr>
        <w:spacing w:before="0" w:after="0" w:line="240" w:lineRule="auto"/>
      </w:pPr>
      <w:rPr>
        <w:b/>
        <w:bCs/>
      </w:rPr>
      <w:tblPr/>
      <w:tcPr>
        <w:tcBorders>
          <w:top w:val="double" w:sz="6" w:space="0" w:color="776E64" w:themeColor="accent2"/>
          <w:left w:val="single" w:sz="8" w:space="0" w:color="776E64" w:themeColor="accent2"/>
          <w:bottom w:val="single" w:sz="8" w:space="0" w:color="776E64" w:themeColor="accent2"/>
          <w:right w:val="single" w:sz="8" w:space="0" w:color="776E64" w:themeColor="accent2"/>
        </w:tcBorders>
      </w:tcPr>
    </w:tblStylePr>
    <w:tblStylePr w:type="firstCol">
      <w:rPr>
        <w:b/>
        <w:bCs/>
      </w:rPr>
    </w:tblStylePr>
    <w:tblStylePr w:type="lastCol">
      <w:rPr>
        <w:b/>
        <w:bCs/>
      </w:rPr>
    </w:tblStylePr>
    <w:tblStylePr w:type="band1Vert">
      <w:tblPr/>
      <w:tcPr>
        <w:tcBorders>
          <w:top w:val="single" w:sz="8" w:space="0" w:color="776E64" w:themeColor="accent2"/>
          <w:left w:val="single" w:sz="8" w:space="0" w:color="776E64" w:themeColor="accent2"/>
          <w:bottom w:val="single" w:sz="8" w:space="0" w:color="776E64" w:themeColor="accent2"/>
          <w:right w:val="single" w:sz="8" w:space="0" w:color="776E64" w:themeColor="accent2"/>
        </w:tcBorders>
      </w:tcPr>
    </w:tblStylePr>
    <w:tblStylePr w:type="band1Horz">
      <w:tblPr/>
      <w:tcPr>
        <w:tcBorders>
          <w:top w:val="single" w:sz="8" w:space="0" w:color="776E64" w:themeColor="accent2"/>
          <w:left w:val="single" w:sz="8" w:space="0" w:color="776E64" w:themeColor="accent2"/>
          <w:bottom w:val="single" w:sz="8" w:space="0" w:color="776E64" w:themeColor="accent2"/>
          <w:right w:val="single" w:sz="8" w:space="0" w:color="776E64"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024230" w:themeColor="accent3"/>
        <w:left w:val="single" w:sz="8" w:space="0" w:color="024230" w:themeColor="accent3"/>
        <w:bottom w:val="single" w:sz="8" w:space="0" w:color="024230" w:themeColor="accent3"/>
        <w:right w:val="single" w:sz="8" w:space="0" w:color="024230" w:themeColor="accent3"/>
      </w:tblBorders>
    </w:tblPr>
    <w:tblStylePr w:type="firstRow">
      <w:pPr>
        <w:spacing w:before="0" w:after="0" w:line="240" w:lineRule="auto"/>
      </w:pPr>
      <w:rPr>
        <w:b/>
        <w:bCs/>
        <w:color w:val="FFFFFF" w:themeColor="background1"/>
      </w:rPr>
      <w:tblPr/>
      <w:tcPr>
        <w:shd w:val="clear" w:color="auto" w:fill="024230" w:themeFill="accent3"/>
      </w:tcPr>
    </w:tblStylePr>
    <w:tblStylePr w:type="lastRow">
      <w:pPr>
        <w:spacing w:before="0" w:after="0" w:line="240" w:lineRule="auto"/>
      </w:pPr>
      <w:rPr>
        <w:b/>
        <w:bCs/>
      </w:rPr>
      <w:tblPr/>
      <w:tcPr>
        <w:tcBorders>
          <w:top w:val="double" w:sz="6" w:space="0" w:color="024230" w:themeColor="accent3"/>
          <w:left w:val="single" w:sz="8" w:space="0" w:color="024230" w:themeColor="accent3"/>
          <w:bottom w:val="single" w:sz="8" w:space="0" w:color="024230" w:themeColor="accent3"/>
          <w:right w:val="single" w:sz="8" w:space="0" w:color="024230" w:themeColor="accent3"/>
        </w:tcBorders>
      </w:tcPr>
    </w:tblStylePr>
    <w:tblStylePr w:type="firstCol">
      <w:rPr>
        <w:b/>
        <w:bCs/>
      </w:rPr>
    </w:tblStylePr>
    <w:tblStylePr w:type="lastCol">
      <w:rPr>
        <w:b/>
        <w:bCs/>
      </w:rPr>
    </w:tblStylePr>
    <w:tblStylePr w:type="band1Vert">
      <w:tblPr/>
      <w:tcPr>
        <w:tcBorders>
          <w:top w:val="single" w:sz="8" w:space="0" w:color="024230" w:themeColor="accent3"/>
          <w:left w:val="single" w:sz="8" w:space="0" w:color="024230" w:themeColor="accent3"/>
          <w:bottom w:val="single" w:sz="8" w:space="0" w:color="024230" w:themeColor="accent3"/>
          <w:right w:val="single" w:sz="8" w:space="0" w:color="024230" w:themeColor="accent3"/>
        </w:tcBorders>
      </w:tcPr>
    </w:tblStylePr>
    <w:tblStylePr w:type="band1Horz">
      <w:tblPr/>
      <w:tcPr>
        <w:tcBorders>
          <w:top w:val="single" w:sz="8" w:space="0" w:color="024230" w:themeColor="accent3"/>
          <w:left w:val="single" w:sz="8" w:space="0" w:color="024230" w:themeColor="accent3"/>
          <w:bottom w:val="single" w:sz="8" w:space="0" w:color="024230" w:themeColor="accent3"/>
          <w:right w:val="single" w:sz="8" w:space="0" w:color="024230"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514C47" w:themeColor="accent4"/>
        <w:left w:val="single" w:sz="8" w:space="0" w:color="514C47" w:themeColor="accent4"/>
        <w:bottom w:val="single" w:sz="8" w:space="0" w:color="514C47" w:themeColor="accent4"/>
        <w:right w:val="single" w:sz="8" w:space="0" w:color="514C47" w:themeColor="accent4"/>
      </w:tblBorders>
    </w:tblPr>
    <w:tblStylePr w:type="firstRow">
      <w:pPr>
        <w:spacing w:before="0" w:after="0" w:line="240" w:lineRule="auto"/>
      </w:pPr>
      <w:rPr>
        <w:b/>
        <w:bCs/>
        <w:color w:val="FFFFFF" w:themeColor="background1"/>
      </w:rPr>
      <w:tblPr/>
      <w:tcPr>
        <w:shd w:val="clear" w:color="auto" w:fill="514C47" w:themeFill="accent4"/>
      </w:tcPr>
    </w:tblStylePr>
    <w:tblStylePr w:type="lastRow">
      <w:pPr>
        <w:spacing w:before="0" w:after="0" w:line="240" w:lineRule="auto"/>
      </w:pPr>
      <w:rPr>
        <w:b/>
        <w:bCs/>
      </w:rPr>
      <w:tblPr/>
      <w:tcPr>
        <w:tcBorders>
          <w:top w:val="double" w:sz="6" w:space="0" w:color="514C47" w:themeColor="accent4"/>
          <w:left w:val="single" w:sz="8" w:space="0" w:color="514C47" w:themeColor="accent4"/>
          <w:bottom w:val="single" w:sz="8" w:space="0" w:color="514C47" w:themeColor="accent4"/>
          <w:right w:val="single" w:sz="8" w:space="0" w:color="514C47" w:themeColor="accent4"/>
        </w:tcBorders>
      </w:tcPr>
    </w:tblStylePr>
    <w:tblStylePr w:type="firstCol">
      <w:rPr>
        <w:b/>
        <w:bCs/>
      </w:rPr>
    </w:tblStylePr>
    <w:tblStylePr w:type="lastCol">
      <w:rPr>
        <w:b/>
        <w:bCs/>
      </w:rPr>
    </w:tblStylePr>
    <w:tblStylePr w:type="band1Vert">
      <w:tblPr/>
      <w:tcPr>
        <w:tcBorders>
          <w:top w:val="single" w:sz="8" w:space="0" w:color="514C47" w:themeColor="accent4"/>
          <w:left w:val="single" w:sz="8" w:space="0" w:color="514C47" w:themeColor="accent4"/>
          <w:bottom w:val="single" w:sz="8" w:space="0" w:color="514C47" w:themeColor="accent4"/>
          <w:right w:val="single" w:sz="8" w:space="0" w:color="514C47" w:themeColor="accent4"/>
        </w:tcBorders>
      </w:tcPr>
    </w:tblStylePr>
    <w:tblStylePr w:type="band1Horz">
      <w:tblPr/>
      <w:tcPr>
        <w:tcBorders>
          <w:top w:val="single" w:sz="8" w:space="0" w:color="514C47" w:themeColor="accent4"/>
          <w:left w:val="single" w:sz="8" w:space="0" w:color="514C47" w:themeColor="accent4"/>
          <w:bottom w:val="single" w:sz="8" w:space="0" w:color="514C47" w:themeColor="accent4"/>
          <w:right w:val="single" w:sz="8" w:space="0" w:color="514C47"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6C7A03" w:themeColor="accent5"/>
        <w:left w:val="single" w:sz="8" w:space="0" w:color="6C7A03" w:themeColor="accent5"/>
        <w:bottom w:val="single" w:sz="8" w:space="0" w:color="6C7A03" w:themeColor="accent5"/>
        <w:right w:val="single" w:sz="8" w:space="0" w:color="6C7A03" w:themeColor="accent5"/>
      </w:tblBorders>
    </w:tblPr>
    <w:tblStylePr w:type="firstRow">
      <w:pPr>
        <w:spacing w:before="0" w:after="0" w:line="240" w:lineRule="auto"/>
      </w:pPr>
      <w:rPr>
        <w:b/>
        <w:bCs/>
        <w:color w:val="FFFFFF" w:themeColor="background1"/>
      </w:rPr>
      <w:tblPr/>
      <w:tcPr>
        <w:shd w:val="clear" w:color="auto" w:fill="6C7A03" w:themeFill="accent5"/>
      </w:tcPr>
    </w:tblStylePr>
    <w:tblStylePr w:type="lastRow">
      <w:pPr>
        <w:spacing w:before="0" w:after="0" w:line="240" w:lineRule="auto"/>
      </w:pPr>
      <w:rPr>
        <w:b/>
        <w:bCs/>
      </w:rPr>
      <w:tblPr/>
      <w:tcPr>
        <w:tcBorders>
          <w:top w:val="double" w:sz="6" w:space="0" w:color="6C7A03" w:themeColor="accent5"/>
          <w:left w:val="single" w:sz="8" w:space="0" w:color="6C7A03" w:themeColor="accent5"/>
          <w:bottom w:val="single" w:sz="8" w:space="0" w:color="6C7A03" w:themeColor="accent5"/>
          <w:right w:val="single" w:sz="8" w:space="0" w:color="6C7A03" w:themeColor="accent5"/>
        </w:tcBorders>
      </w:tcPr>
    </w:tblStylePr>
    <w:tblStylePr w:type="firstCol">
      <w:rPr>
        <w:b/>
        <w:bCs/>
      </w:rPr>
    </w:tblStylePr>
    <w:tblStylePr w:type="lastCol">
      <w:rPr>
        <w:b/>
        <w:bCs/>
      </w:rPr>
    </w:tblStylePr>
    <w:tblStylePr w:type="band1Vert">
      <w:tblPr/>
      <w:tcPr>
        <w:tcBorders>
          <w:top w:val="single" w:sz="8" w:space="0" w:color="6C7A03" w:themeColor="accent5"/>
          <w:left w:val="single" w:sz="8" w:space="0" w:color="6C7A03" w:themeColor="accent5"/>
          <w:bottom w:val="single" w:sz="8" w:space="0" w:color="6C7A03" w:themeColor="accent5"/>
          <w:right w:val="single" w:sz="8" w:space="0" w:color="6C7A03" w:themeColor="accent5"/>
        </w:tcBorders>
      </w:tcPr>
    </w:tblStylePr>
    <w:tblStylePr w:type="band1Horz">
      <w:tblPr/>
      <w:tcPr>
        <w:tcBorders>
          <w:top w:val="single" w:sz="8" w:space="0" w:color="6C7A03" w:themeColor="accent5"/>
          <w:left w:val="single" w:sz="8" w:space="0" w:color="6C7A03" w:themeColor="accent5"/>
          <w:bottom w:val="single" w:sz="8" w:space="0" w:color="6C7A03" w:themeColor="accent5"/>
          <w:right w:val="single" w:sz="8" w:space="0" w:color="6C7A0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028E26" w:themeColor="accent6"/>
        <w:left w:val="single" w:sz="8" w:space="0" w:color="028E26" w:themeColor="accent6"/>
        <w:bottom w:val="single" w:sz="8" w:space="0" w:color="028E26" w:themeColor="accent6"/>
        <w:right w:val="single" w:sz="8" w:space="0" w:color="028E26" w:themeColor="accent6"/>
      </w:tblBorders>
    </w:tblPr>
    <w:tblStylePr w:type="firstRow">
      <w:pPr>
        <w:spacing w:before="0" w:after="0" w:line="240" w:lineRule="auto"/>
      </w:pPr>
      <w:rPr>
        <w:b/>
        <w:bCs/>
        <w:color w:val="FFFFFF" w:themeColor="background1"/>
      </w:rPr>
      <w:tblPr/>
      <w:tcPr>
        <w:shd w:val="clear" w:color="auto" w:fill="028E26" w:themeFill="accent6"/>
      </w:tcPr>
    </w:tblStylePr>
    <w:tblStylePr w:type="lastRow">
      <w:pPr>
        <w:spacing w:before="0" w:after="0" w:line="240" w:lineRule="auto"/>
      </w:pPr>
      <w:rPr>
        <w:b/>
        <w:bCs/>
      </w:rPr>
      <w:tblPr/>
      <w:tcPr>
        <w:tcBorders>
          <w:top w:val="double" w:sz="6" w:space="0" w:color="028E26" w:themeColor="accent6"/>
          <w:left w:val="single" w:sz="8" w:space="0" w:color="028E26" w:themeColor="accent6"/>
          <w:bottom w:val="single" w:sz="8" w:space="0" w:color="028E26" w:themeColor="accent6"/>
          <w:right w:val="single" w:sz="8" w:space="0" w:color="028E26" w:themeColor="accent6"/>
        </w:tcBorders>
      </w:tcPr>
    </w:tblStylePr>
    <w:tblStylePr w:type="firstCol">
      <w:rPr>
        <w:b/>
        <w:bCs/>
      </w:rPr>
    </w:tblStylePr>
    <w:tblStylePr w:type="lastCol">
      <w:rPr>
        <w:b/>
        <w:bCs/>
      </w:rPr>
    </w:tblStylePr>
    <w:tblStylePr w:type="band1Vert">
      <w:tblPr/>
      <w:tcPr>
        <w:tcBorders>
          <w:top w:val="single" w:sz="8" w:space="0" w:color="028E26" w:themeColor="accent6"/>
          <w:left w:val="single" w:sz="8" w:space="0" w:color="028E26" w:themeColor="accent6"/>
          <w:bottom w:val="single" w:sz="8" w:space="0" w:color="028E26" w:themeColor="accent6"/>
          <w:right w:val="single" w:sz="8" w:space="0" w:color="028E26" w:themeColor="accent6"/>
        </w:tcBorders>
      </w:tcPr>
    </w:tblStylePr>
    <w:tblStylePr w:type="band1Horz">
      <w:tblPr/>
      <w:tcPr>
        <w:tcBorders>
          <w:top w:val="single" w:sz="8" w:space="0" w:color="028E26" w:themeColor="accent6"/>
          <w:left w:val="single" w:sz="8" w:space="0" w:color="028E26" w:themeColor="accent6"/>
          <w:bottom w:val="single" w:sz="8" w:space="0" w:color="028E26" w:themeColor="accent6"/>
          <w:right w:val="single" w:sz="8" w:space="0" w:color="028E2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006848" w:themeColor="accent1"/>
        <w:left w:val="single" w:sz="8" w:space="0" w:color="006848" w:themeColor="accent1"/>
        <w:bottom w:val="single" w:sz="8" w:space="0" w:color="006848" w:themeColor="accent1"/>
        <w:right w:val="single" w:sz="8" w:space="0" w:color="006848" w:themeColor="accent1"/>
        <w:insideH w:val="single" w:sz="8" w:space="0" w:color="006848" w:themeColor="accent1"/>
        <w:insideV w:val="single" w:sz="8" w:space="0" w:color="00684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848" w:themeColor="accent1"/>
          <w:left w:val="single" w:sz="8" w:space="0" w:color="006848" w:themeColor="accent1"/>
          <w:bottom w:val="single" w:sz="18" w:space="0" w:color="006848" w:themeColor="accent1"/>
          <w:right w:val="single" w:sz="8" w:space="0" w:color="006848" w:themeColor="accent1"/>
          <w:insideH w:val="nil"/>
          <w:insideV w:val="single" w:sz="8" w:space="0" w:color="00684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848" w:themeColor="accent1"/>
          <w:left w:val="single" w:sz="8" w:space="0" w:color="006848" w:themeColor="accent1"/>
          <w:bottom w:val="single" w:sz="8" w:space="0" w:color="006848" w:themeColor="accent1"/>
          <w:right w:val="single" w:sz="8" w:space="0" w:color="006848" w:themeColor="accent1"/>
          <w:insideH w:val="nil"/>
          <w:insideV w:val="single" w:sz="8" w:space="0" w:color="00684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848" w:themeColor="accent1"/>
          <w:left w:val="single" w:sz="8" w:space="0" w:color="006848" w:themeColor="accent1"/>
          <w:bottom w:val="single" w:sz="8" w:space="0" w:color="006848" w:themeColor="accent1"/>
          <w:right w:val="single" w:sz="8" w:space="0" w:color="006848" w:themeColor="accent1"/>
        </w:tcBorders>
      </w:tcPr>
    </w:tblStylePr>
    <w:tblStylePr w:type="band1Vert">
      <w:tblPr/>
      <w:tcPr>
        <w:tcBorders>
          <w:top w:val="single" w:sz="8" w:space="0" w:color="006848" w:themeColor="accent1"/>
          <w:left w:val="single" w:sz="8" w:space="0" w:color="006848" w:themeColor="accent1"/>
          <w:bottom w:val="single" w:sz="8" w:space="0" w:color="006848" w:themeColor="accent1"/>
          <w:right w:val="single" w:sz="8" w:space="0" w:color="006848" w:themeColor="accent1"/>
        </w:tcBorders>
        <w:shd w:val="clear" w:color="auto" w:fill="9AFFDF" w:themeFill="accent1" w:themeFillTint="3F"/>
      </w:tcPr>
    </w:tblStylePr>
    <w:tblStylePr w:type="band1Horz">
      <w:tblPr/>
      <w:tcPr>
        <w:tcBorders>
          <w:top w:val="single" w:sz="8" w:space="0" w:color="006848" w:themeColor="accent1"/>
          <w:left w:val="single" w:sz="8" w:space="0" w:color="006848" w:themeColor="accent1"/>
          <w:bottom w:val="single" w:sz="8" w:space="0" w:color="006848" w:themeColor="accent1"/>
          <w:right w:val="single" w:sz="8" w:space="0" w:color="006848" w:themeColor="accent1"/>
          <w:insideV w:val="single" w:sz="8" w:space="0" w:color="006848" w:themeColor="accent1"/>
        </w:tcBorders>
        <w:shd w:val="clear" w:color="auto" w:fill="9AFFDF" w:themeFill="accent1" w:themeFillTint="3F"/>
      </w:tcPr>
    </w:tblStylePr>
    <w:tblStylePr w:type="band2Horz">
      <w:tblPr/>
      <w:tcPr>
        <w:tcBorders>
          <w:top w:val="single" w:sz="8" w:space="0" w:color="006848" w:themeColor="accent1"/>
          <w:left w:val="single" w:sz="8" w:space="0" w:color="006848" w:themeColor="accent1"/>
          <w:bottom w:val="single" w:sz="8" w:space="0" w:color="006848" w:themeColor="accent1"/>
          <w:right w:val="single" w:sz="8" w:space="0" w:color="006848" w:themeColor="accent1"/>
          <w:insideV w:val="single" w:sz="8" w:space="0" w:color="006848"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776E64" w:themeColor="accent2"/>
        <w:left w:val="single" w:sz="8" w:space="0" w:color="776E64" w:themeColor="accent2"/>
        <w:bottom w:val="single" w:sz="8" w:space="0" w:color="776E64" w:themeColor="accent2"/>
        <w:right w:val="single" w:sz="8" w:space="0" w:color="776E64" w:themeColor="accent2"/>
        <w:insideH w:val="single" w:sz="8" w:space="0" w:color="776E64" w:themeColor="accent2"/>
        <w:insideV w:val="single" w:sz="8" w:space="0" w:color="776E6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76E64" w:themeColor="accent2"/>
          <w:left w:val="single" w:sz="8" w:space="0" w:color="776E64" w:themeColor="accent2"/>
          <w:bottom w:val="single" w:sz="18" w:space="0" w:color="776E64" w:themeColor="accent2"/>
          <w:right w:val="single" w:sz="8" w:space="0" w:color="776E64" w:themeColor="accent2"/>
          <w:insideH w:val="nil"/>
          <w:insideV w:val="single" w:sz="8" w:space="0" w:color="776E6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76E64" w:themeColor="accent2"/>
          <w:left w:val="single" w:sz="8" w:space="0" w:color="776E64" w:themeColor="accent2"/>
          <w:bottom w:val="single" w:sz="8" w:space="0" w:color="776E64" w:themeColor="accent2"/>
          <w:right w:val="single" w:sz="8" w:space="0" w:color="776E64" w:themeColor="accent2"/>
          <w:insideH w:val="nil"/>
          <w:insideV w:val="single" w:sz="8" w:space="0" w:color="776E6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76E64" w:themeColor="accent2"/>
          <w:left w:val="single" w:sz="8" w:space="0" w:color="776E64" w:themeColor="accent2"/>
          <w:bottom w:val="single" w:sz="8" w:space="0" w:color="776E64" w:themeColor="accent2"/>
          <w:right w:val="single" w:sz="8" w:space="0" w:color="776E64" w:themeColor="accent2"/>
        </w:tcBorders>
      </w:tcPr>
    </w:tblStylePr>
    <w:tblStylePr w:type="band1Vert">
      <w:tblPr/>
      <w:tcPr>
        <w:tcBorders>
          <w:top w:val="single" w:sz="8" w:space="0" w:color="776E64" w:themeColor="accent2"/>
          <w:left w:val="single" w:sz="8" w:space="0" w:color="776E64" w:themeColor="accent2"/>
          <w:bottom w:val="single" w:sz="8" w:space="0" w:color="776E64" w:themeColor="accent2"/>
          <w:right w:val="single" w:sz="8" w:space="0" w:color="776E64" w:themeColor="accent2"/>
        </w:tcBorders>
        <w:shd w:val="clear" w:color="auto" w:fill="DEDBD7" w:themeFill="accent2" w:themeFillTint="3F"/>
      </w:tcPr>
    </w:tblStylePr>
    <w:tblStylePr w:type="band1Horz">
      <w:tblPr/>
      <w:tcPr>
        <w:tcBorders>
          <w:top w:val="single" w:sz="8" w:space="0" w:color="776E64" w:themeColor="accent2"/>
          <w:left w:val="single" w:sz="8" w:space="0" w:color="776E64" w:themeColor="accent2"/>
          <w:bottom w:val="single" w:sz="8" w:space="0" w:color="776E64" w:themeColor="accent2"/>
          <w:right w:val="single" w:sz="8" w:space="0" w:color="776E64" w:themeColor="accent2"/>
          <w:insideV w:val="single" w:sz="8" w:space="0" w:color="776E64" w:themeColor="accent2"/>
        </w:tcBorders>
        <w:shd w:val="clear" w:color="auto" w:fill="DEDBD7" w:themeFill="accent2" w:themeFillTint="3F"/>
      </w:tcPr>
    </w:tblStylePr>
    <w:tblStylePr w:type="band2Horz">
      <w:tblPr/>
      <w:tcPr>
        <w:tcBorders>
          <w:top w:val="single" w:sz="8" w:space="0" w:color="776E64" w:themeColor="accent2"/>
          <w:left w:val="single" w:sz="8" w:space="0" w:color="776E64" w:themeColor="accent2"/>
          <w:bottom w:val="single" w:sz="8" w:space="0" w:color="776E64" w:themeColor="accent2"/>
          <w:right w:val="single" w:sz="8" w:space="0" w:color="776E64" w:themeColor="accent2"/>
          <w:insideV w:val="single" w:sz="8" w:space="0" w:color="776E64"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024230" w:themeColor="accent3"/>
        <w:left w:val="single" w:sz="8" w:space="0" w:color="024230" w:themeColor="accent3"/>
        <w:bottom w:val="single" w:sz="8" w:space="0" w:color="024230" w:themeColor="accent3"/>
        <w:right w:val="single" w:sz="8" w:space="0" w:color="024230" w:themeColor="accent3"/>
        <w:insideH w:val="single" w:sz="8" w:space="0" w:color="024230" w:themeColor="accent3"/>
        <w:insideV w:val="single" w:sz="8" w:space="0" w:color="02423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24230" w:themeColor="accent3"/>
          <w:left w:val="single" w:sz="8" w:space="0" w:color="024230" w:themeColor="accent3"/>
          <w:bottom w:val="single" w:sz="18" w:space="0" w:color="024230" w:themeColor="accent3"/>
          <w:right w:val="single" w:sz="8" w:space="0" w:color="024230" w:themeColor="accent3"/>
          <w:insideH w:val="nil"/>
          <w:insideV w:val="single" w:sz="8" w:space="0" w:color="02423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24230" w:themeColor="accent3"/>
          <w:left w:val="single" w:sz="8" w:space="0" w:color="024230" w:themeColor="accent3"/>
          <w:bottom w:val="single" w:sz="8" w:space="0" w:color="024230" w:themeColor="accent3"/>
          <w:right w:val="single" w:sz="8" w:space="0" w:color="024230" w:themeColor="accent3"/>
          <w:insideH w:val="nil"/>
          <w:insideV w:val="single" w:sz="8" w:space="0" w:color="02423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24230" w:themeColor="accent3"/>
          <w:left w:val="single" w:sz="8" w:space="0" w:color="024230" w:themeColor="accent3"/>
          <w:bottom w:val="single" w:sz="8" w:space="0" w:color="024230" w:themeColor="accent3"/>
          <w:right w:val="single" w:sz="8" w:space="0" w:color="024230" w:themeColor="accent3"/>
        </w:tcBorders>
      </w:tcPr>
    </w:tblStylePr>
    <w:tblStylePr w:type="band1Vert">
      <w:tblPr/>
      <w:tcPr>
        <w:tcBorders>
          <w:top w:val="single" w:sz="8" w:space="0" w:color="024230" w:themeColor="accent3"/>
          <w:left w:val="single" w:sz="8" w:space="0" w:color="024230" w:themeColor="accent3"/>
          <w:bottom w:val="single" w:sz="8" w:space="0" w:color="024230" w:themeColor="accent3"/>
          <w:right w:val="single" w:sz="8" w:space="0" w:color="024230" w:themeColor="accent3"/>
        </w:tcBorders>
        <w:shd w:val="clear" w:color="auto" w:fill="94FBDE" w:themeFill="accent3" w:themeFillTint="3F"/>
      </w:tcPr>
    </w:tblStylePr>
    <w:tblStylePr w:type="band1Horz">
      <w:tblPr/>
      <w:tcPr>
        <w:tcBorders>
          <w:top w:val="single" w:sz="8" w:space="0" w:color="024230" w:themeColor="accent3"/>
          <w:left w:val="single" w:sz="8" w:space="0" w:color="024230" w:themeColor="accent3"/>
          <w:bottom w:val="single" w:sz="8" w:space="0" w:color="024230" w:themeColor="accent3"/>
          <w:right w:val="single" w:sz="8" w:space="0" w:color="024230" w:themeColor="accent3"/>
          <w:insideV w:val="single" w:sz="8" w:space="0" w:color="024230" w:themeColor="accent3"/>
        </w:tcBorders>
        <w:shd w:val="clear" w:color="auto" w:fill="94FBDE" w:themeFill="accent3" w:themeFillTint="3F"/>
      </w:tcPr>
    </w:tblStylePr>
    <w:tblStylePr w:type="band2Horz">
      <w:tblPr/>
      <w:tcPr>
        <w:tcBorders>
          <w:top w:val="single" w:sz="8" w:space="0" w:color="024230" w:themeColor="accent3"/>
          <w:left w:val="single" w:sz="8" w:space="0" w:color="024230" w:themeColor="accent3"/>
          <w:bottom w:val="single" w:sz="8" w:space="0" w:color="024230" w:themeColor="accent3"/>
          <w:right w:val="single" w:sz="8" w:space="0" w:color="024230" w:themeColor="accent3"/>
          <w:insideV w:val="single" w:sz="8" w:space="0" w:color="024230"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514C47" w:themeColor="accent4"/>
        <w:left w:val="single" w:sz="8" w:space="0" w:color="514C47" w:themeColor="accent4"/>
        <w:bottom w:val="single" w:sz="8" w:space="0" w:color="514C47" w:themeColor="accent4"/>
        <w:right w:val="single" w:sz="8" w:space="0" w:color="514C47" w:themeColor="accent4"/>
        <w:insideH w:val="single" w:sz="8" w:space="0" w:color="514C47" w:themeColor="accent4"/>
        <w:insideV w:val="single" w:sz="8" w:space="0" w:color="514C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14C47" w:themeColor="accent4"/>
          <w:left w:val="single" w:sz="8" w:space="0" w:color="514C47" w:themeColor="accent4"/>
          <w:bottom w:val="single" w:sz="18" w:space="0" w:color="514C47" w:themeColor="accent4"/>
          <w:right w:val="single" w:sz="8" w:space="0" w:color="514C47" w:themeColor="accent4"/>
          <w:insideH w:val="nil"/>
          <w:insideV w:val="single" w:sz="8" w:space="0" w:color="514C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14C47" w:themeColor="accent4"/>
          <w:left w:val="single" w:sz="8" w:space="0" w:color="514C47" w:themeColor="accent4"/>
          <w:bottom w:val="single" w:sz="8" w:space="0" w:color="514C47" w:themeColor="accent4"/>
          <w:right w:val="single" w:sz="8" w:space="0" w:color="514C47" w:themeColor="accent4"/>
          <w:insideH w:val="nil"/>
          <w:insideV w:val="single" w:sz="8" w:space="0" w:color="514C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14C47" w:themeColor="accent4"/>
          <w:left w:val="single" w:sz="8" w:space="0" w:color="514C47" w:themeColor="accent4"/>
          <w:bottom w:val="single" w:sz="8" w:space="0" w:color="514C47" w:themeColor="accent4"/>
          <w:right w:val="single" w:sz="8" w:space="0" w:color="514C47" w:themeColor="accent4"/>
        </w:tcBorders>
      </w:tcPr>
    </w:tblStylePr>
    <w:tblStylePr w:type="band1Vert">
      <w:tblPr/>
      <w:tcPr>
        <w:tcBorders>
          <w:top w:val="single" w:sz="8" w:space="0" w:color="514C47" w:themeColor="accent4"/>
          <w:left w:val="single" w:sz="8" w:space="0" w:color="514C47" w:themeColor="accent4"/>
          <w:bottom w:val="single" w:sz="8" w:space="0" w:color="514C47" w:themeColor="accent4"/>
          <w:right w:val="single" w:sz="8" w:space="0" w:color="514C47" w:themeColor="accent4"/>
        </w:tcBorders>
        <w:shd w:val="clear" w:color="auto" w:fill="D5D2CF" w:themeFill="accent4" w:themeFillTint="3F"/>
      </w:tcPr>
    </w:tblStylePr>
    <w:tblStylePr w:type="band1Horz">
      <w:tblPr/>
      <w:tcPr>
        <w:tcBorders>
          <w:top w:val="single" w:sz="8" w:space="0" w:color="514C47" w:themeColor="accent4"/>
          <w:left w:val="single" w:sz="8" w:space="0" w:color="514C47" w:themeColor="accent4"/>
          <w:bottom w:val="single" w:sz="8" w:space="0" w:color="514C47" w:themeColor="accent4"/>
          <w:right w:val="single" w:sz="8" w:space="0" w:color="514C47" w:themeColor="accent4"/>
          <w:insideV w:val="single" w:sz="8" w:space="0" w:color="514C47" w:themeColor="accent4"/>
        </w:tcBorders>
        <w:shd w:val="clear" w:color="auto" w:fill="D5D2CF" w:themeFill="accent4" w:themeFillTint="3F"/>
      </w:tcPr>
    </w:tblStylePr>
    <w:tblStylePr w:type="band2Horz">
      <w:tblPr/>
      <w:tcPr>
        <w:tcBorders>
          <w:top w:val="single" w:sz="8" w:space="0" w:color="514C47" w:themeColor="accent4"/>
          <w:left w:val="single" w:sz="8" w:space="0" w:color="514C47" w:themeColor="accent4"/>
          <w:bottom w:val="single" w:sz="8" w:space="0" w:color="514C47" w:themeColor="accent4"/>
          <w:right w:val="single" w:sz="8" w:space="0" w:color="514C47" w:themeColor="accent4"/>
          <w:insideV w:val="single" w:sz="8" w:space="0" w:color="514C47"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6C7A03" w:themeColor="accent5"/>
        <w:left w:val="single" w:sz="8" w:space="0" w:color="6C7A03" w:themeColor="accent5"/>
        <w:bottom w:val="single" w:sz="8" w:space="0" w:color="6C7A03" w:themeColor="accent5"/>
        <w:right w:val="single" w:sz="8" w:space="0" w:color="6C7A03" w:themeColor="accent5"/>
        <w:insideH w:val="single" w:sz="8" w:space="0" w:color="6C7A03" w:themeColor="accent5"/>
        <w:insideV w:val="single" w:sz="8" w:space="0" w:color="6C7A0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C7A03" w:themeColor="accent5"/>
          <w:left w:val="single" w:sz="8" w:space="0" w:color="6C7A03" w:themeColor="accent5"/>
          <w:bottom w:val="single" w:sz="18" w:space="0" w:color="6C7A03" w:themeColor="accent5"/>
          <w:right w:val="single" w:sz="8" w:space="0" w:color="6C7A03" w:themeColor="accent5"/>
          <w:insideH w:val="nil"/>
          <w:insideV w:val="single" w:sz="8" w:space="0" w:color="6C7A0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C7A03" w:themeColor="accent5"/>
          <w:left w:val="single" w:sz="8" w:space="0" w:color="6C7A03" w:themeColor="accent5"/>
          <w:bottom w:val="single" w:sz="8" w:space="0" w:color="6C7A03" w:themeColor="accent5"/>
          <w:right w:val="single" w:sz="8" w:space="0" w:color="6C7A03" w:themeColor="accent5"/>
          <w:insideH w:val="nil"/>
          <w:insideV w:val="single" w:sz="8" w:space="0" w:color="6C7A0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C7A03" w:themeColor="accent5"/>
          <w:left w:val="single" w:sz="8" w:space="0" w:color="6C7A03" w:themeColor="accent5"/>
          <w:bottom w:val="single" w:sz="8" w:space="0" w:color="6C7A03" w:themeColor="accent5"/>
          <w:right w:val="single" w:sz="8" w:space="0" w:color="6C7A03" w:themeColor="accent5"/>
        </w:tcBorders>
      </w:tcPr>
    </w:tblStylePr>
    <w:tblStylePr w:type="band1Vert">
      <w:tblPr/>
      <w:tcPr>
        <w:tcBorders>
          <w:top w:val="single" w:sz="8" w:space="0" w:color="6C7A03" w:themeColor="accent5"/>
          <w:left w:val="single" w:sz="8" w:space="0" w:color="6C7A03" w:themeColor="accent5"/>
          <w:bottom w:val="single" w:sz="8" w:space="0" w:color="6C7A03" w:themeColor="accent5"/>
          <w:right w:val="single" w:sz="8" w:space="0" w:color="6C7A03" w:themeColor="accent5"/>
        </w:tcBorders>
        <w:shd w:val="clear" w:color="auto" w:fill="F2FCA1" w:themeFill="accent5" w:themeFillTint="3F"/>
      </w:tcPr>
    </w:tblStylePr>
    <w:tblStylePr w:type="band1Horz">
      <w:tblPr/>
      <w:tcPr>
        <w:tcBorders>
          <w:top w:val="single" w:sz="8" w:space="0" w:color="6C7A03" w:themeColor="accent5"/>
          <w:left w:val="single" w:sz="8" w:space="0" w:color="6C7A03" w:themeColor="accent5"/>
          <w:bottom w:val="single" w:sz="8" w:space="0" w:color="6C7A03" w:themeColor="accent5"/>
          <w:right w:val="single" w:sz="8" w:space="0" w:color="6C7A03" w:themeColor="accent5"/>
          <w:insideV w:val="single" w:sz="8" w:space="0" w:color="6C7A03" w:themeColor="accent5"/>
        </w:tcBorders>
        <w:shd w:val="clear" w:color="auto" w:fill="F2FCA1" w:themeFill="accent5" w:themeFillTint="3F"/>
      </w:tcPr>
    </w:tblStylePr>
    <w:tblStylePr w:type="band2Horz">
      <w:tblPr/>
      <w:tcPr>
        <w:tcBorders>
          <w:top w:val="single" w:sz="8" w:space="0" w:color="6C7A03" w:themeColor="accent5"/>
          <w:left w:val="single" w:sz="8" w:space="0" w:color="6C7A03" w:themeColor="accent5"/>
          <w:bottom w:val="single" w:sz="8" w:space="0" w:color="6C7A03" w:themeColor="accent5"/>
          <w:right w:val="single" w:sz="8" w:space="0" w:color="6C7A03" w:themeColor="accent5"/>
          <w:insideV w:val="single" w:sz="8" w:space="0" w:color="6C7A0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028E26" w:themeColor="accent6"/>
        <w:left w:val="single" w:sz="8" w:space="0" w:color="028E26" w:themeColor="accent6"/>
        <w:bottom w:val="single" w:sz="8" w:space="0" w:color="028E26" w:themeColor="accent6"/>
        <w:right w:val="single" w:sz="8" w:space="0" w:color="028E26" w:themeColor="accent6"/>
        <w:insideH w:val="single" w:sz="8" w:space="0" w:color="028E26" w:themeColor="accent6"/>
        <w:insideV w:val="single" w:sz="8" w:space="0" w:color="028E2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28E26" w:themeColor="accent6"/>
          <w:left w:val="single" w:sz="8" w:space="0" w:color="028E26" w:themeColor="accent6"/>
          <w:bottom w:val="single" w:sz="18" w:space="0" w:color="028E26" w:themeColor="accent6"/>
          <w:right w:val="single" w:sz="8" w:space="0" w:color="028E26" w:themeColor="accent6"/>
          <w:insideH w:val="nil"/>
          <w:insideV w:val="single" w:sz="8" w:space="0" w:color="028E2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28E26" w:themeColor="accent6"/>
          <w:left w:val="single" w:sz="8" w:space="0" w:color="028E26" w:themeColor="accent6"/>
          <w:bottom w:val="single" w:sz="8" w:space="0" w:color="028E26" w:themeColor="accent6"/>
          <w:right w:val="single" w:sz="8" w:space="0" w:color="028E26" w:themeColor="accent6"/>
          <w:insideH w:val="nil"/>
          <w:insideV w:val="single" w:sz="8" w:space="0" w:color="028E2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28E26" w:themeColor="accent6"/>
          <w:left w:val="single" w:sz="8" w:space="0" w:color="028E26" w:themeColor="accent6"/>
          <w:bottom w:val="single" w:sz="8" w:space="0" w:color="028E26" w:themeColor="accent6"/>
          <w:right w:val="single" w:sz="8" w:space="0" w:color="028E26" w:themeColor="accent6"/>
        </w:tcBorders>
      </w:tcPr>
    </w:tblStylePr>
    <w:tblStylePr w:type="band1Vert">
      <w:tblPr/>
      <w:tcPr>
        <w:tcBorders>
          <w:top w:val="single" w:sz="8" w:space="0" w:color="028E26" w:themeColor="accent6"/>
          <w:left w:val="single" w:sz="8" w:space="0" w:color="028E26" w:themeColor="accent6"/>
          <w:bottom w:val="single" w:sz="8" w:space="0" w:color="028E26" w:themeColor="accent6"/>
          <w:right w:val="single" w:sz="8" w:space="0" w:color="028E26" w:themeColor="accent6"/>
        </w:tcBorders>
        <w:shd w:val="clear" w:color="auto" w:fill="A5FDBC" w:themeFill="accent6" w:themeFillTint="3F"/>
      </w:tcPr>
    </w:tblStylePr>
    <w:tblStylePr w:type="band1Horz">
      <w:tblPr/>
      <w:tcPr>
        <w:tcBorders>
          <w:top w:val="single" w:sz="8" w:space="0" w:color="028E26" w:themeColor="accent6"/>
          <w:left w:val="single" w:sz="8" w:space="0" w:color="028E26" w:themeColor="accent6"/>
          <w:bottom w:val="single" w:sz="8" w:space="0" w:color="028E26" w:themeColor="accent6"/>
          <w:right w:val="single" w:sz="8" w:space="0" w:color="028E26" w:themeColor="accent6"/>
          <w:insideV w:val="single" w:sz="8" w:space="0" w:color="028E26" w:themeColor="accent6"/>
        </w:tcBorders>
        <w:shd w:val="clear" w:color="auto" w:fill="A5FDBC" w:themeFill="accent6" w:themeFillTint="3F"/>
      </w:tcPr>
    </w:tblStylePr>
    <w:tblStylePr w:type="band2Horz">
      <w:tblPr/>
      <w:tcPr>
        <w:tcBorders>
          <w:top w:val="single" w:sz="8" w:space="0" w:color="028E26" w:themeColor="accent6"/>
          <w:left w:val="single" w:sz="8" w:space="0" w:color="028E26" w:themeColor="accent6"/>
          <w:bottom w:val="single" w:sz="8" w:space="0" w:color="028E26" w:themeColor="accent6"/>
          <w:right w:val="single" w:sz="8" w:space="0" w:color="028E26" w:themeColor="accent6"/>
          <w:insideV w:val="single" w:sz="8" w:space="0" w:color="028E2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00CD8D" w:themeColor="accent1" w:themeTint="BF"/>
        <w:left w:val="single" w:sz="8" w:space="0" w:color="00CD8D" w:themeColor="accent1" w:themeTint="BF"/>
        <w:bottom w:val="single" w:sz="8" w:space="0" w:color="00CD8D" w:themeColor="accent1" w:themeTint="BF"/>
        <w:right w:val="single" w:sz="8" w:space="0" w:color="00CD8D" w:themeColor="accent1" w:themeTint="BF"/>
        <w:insideH w:val="single" w:sz="8" w:space="0" w:color="00CD8D" w:themeColor="accent1" w:themeTint="BF"/>
      </w:tblBorders>
    </w:tblPr>
    <w:tblStylePr w:type="firstRow">
      <w:pPr>
        <w:spacing w:before="0" w:after="0" w:line="240" w:lineRule="auto"/>
      </w:pPr>
      <w:rPr>
        <w:b/>
        <w:bCs/>
        <w:color w:val="FFFFFF" w:themeColor="background1"/>
      </w:rPr>
      <w:tblPr/>
      <w:tcPr>
        <w:tcBorders>
          <w:top w:val="single" w:sz="8" w:space="0" w:color="00CD8D" w:themeColor="accent1" w:themeTint="BF"/>
          <w:left w:val="single" w:sz="8" w:space="0" w:color="00CD8D" w:themeColor="accent1" w:themeTint="BF"/>
          <w:bottom w:val="single" w:sz="8" w:space="0" w:color="00CD8D" w:themeColor="accent1" w:themeTint="BF"/>
          <w:right w:val="single" w:sz="8" w:space="0" w:color="00CD8D" w:themeColor="accent1" w:themeTint="BF"/>
          <w:insideH w:val="nil"/>
          <w:insideV w:val="nil"/>
        </w:tcBorders>
        <w:shd w:val="clear" w:color="auto" w:fill="006848" w:themeFill="accent1"/>
      </w:tcPr>
    </w:tblStylePr>
    <w:tblStylePr w:type="lastRow">
      <w:pPr>
        <w:spacing w:before="0" w:after="0" w:line="240" w:lineRule="auto"/>
      </w:pPr>
      <w:rPr>
        <w:b/>
        <w:bCs/>
      </w:rPr>
      <w:tblPr/>
      <w:tcPr>
        <w:tcBorders>
          <w:top w:val="double" w:sz="6" w:space="0" w:color="00CD8D" w:themeColor="accent1" w:themeTint="BF"/>
          <w:left w:val="single" w:sz="8" w:space="0" w:color="00CD8D" w:themeColor="accent1" w:themeTint="BF"/>
          <w:bottom w:val="single" w:sz="8" w:space="0" w:color="00CD8D" w:themeColor="accent1" w:themeTint="BF"/>
          <w:right w:val="single" w:sz="8" w:space="0" w:color="00CD8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AFFDF" w:themeFill="accent1" w:themeFillTint="3F"/>
      </w:tcPr>
    </w:tblStylePr>
    <w:tblStylePr w:type="band1Horz">
      <w:tblPr/>
      <w:tcPr>
        <w:tcBorders>
          <w:insideH w:val="nil"/>
          <w:insideV w:val="nil"/>
        </w:tcBorders>
        <w:shd w:val="clear" w:color="auto" w:fill="9AFFD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9B9288" w:themeColor="accent2" w:themeTint="BF"/>
        <w:left w:val="single" w:sz="8" w:space="0" w:color="9B9288" w:themeColor="accent2" w:themeTint="BF"/>
        <w:bottom w:val="single" w:sz="8" w:space="0" w:color="9B9288" w:themeColor="accent2" w:themeTint="BF"/>
        <w:right w:val="single" w:sz="8" w:space="0" w:color="9B9288" w:themeColor="accent2" w:themeTint="BF"/>
        <w:insideH w:val="single" w:sz="8" w:space="0" w:color="9B9288" w:themeColor="accent2" w:themeTint="BF"/>
      </w:tblBorders>
    </w:tblPr>
    <w:tblStylePr w:type="firstRow">
      <w:pPr>
        <w:spacing w:before="0" w:after="0" w:line="240" w:lineRule="auto"/>
      </w:pPr>
      <w:rPr>
        <w:b/>
        <w:bCs/>
        <w:color w:val="FFFFFF" w:themeColor="background1"/>
      </w:rPr>
      <w:tblPr/>
      <w:tcPr>
        <w:tcBorders>
          <w:top w:val="single" w:sz="8" w:space="0" w:color="9B9288" w:themeColor="accent2" w:themeTint="BF"/>
          <w:left w:val="single" w:sz="8" w:space="0" w:color="9B9288" w:themeColor="accent2" w:themeTint="BF"/>
          <w:bottom w:val="single" w:sz="8" w:space="0" w:color="9B9288" w:themeColor="accent2" w:themeTint="BF"/>
          <w:right w:val="single" w:sz="8" w:space="0" w:color="9B9288" w:themeColor="accent2" w:themeTint="BF"/>
          <w:insideH w:val="nil"/>
          <w:insideV w:val="nil"/>
        </w:tcBorders>
        <w:shd w:val="clear" w:color="auto" w:fill="776E64" w:themeFill="accent2"/>
      </w:tcPr>
    </w:tblStylePr>
    <w:tblStylePr w:type="lastRow">
      <w:pPr>
        <w:spacing w:before="0" w:after="0" w:line="240" w:lineRule="auto"/>
      </w:pPr>
      <w:rPr>
        <w:b/>
        <w:bCs/>
      </w:rPr>
      <w:tblPr/>
      <w:tcPr>
        <w:tcBorders>
          <w:top w:val="double" w:sz="6" w:space="0" w:color="9B9288" w:themeColor="accent2" w:themeTint="BF"/>
          <w:left w:val="single" w:sz="8" w:space="0" w:color="9B9288" w:themeColor="accent2" w:themeTint="BF"/>
          <w:bottom w:val="single" w:sz="8" w:space="0" w:color="9B9288" w:themeColor="accent2" w:themeTint="BF"/>
          <w:right w:val="single" w:sz="8" w:space="0" w:color="9B9288" w:themeColor="accent2" w:themeTint="BF"/>
          <w:insideH w:val="nil"/>
          <w:insideV w:val="nil"/>
        </w:tcBorders>
      </w:tcPr>
    </w:tblStylePr>
    <w:tblStylePr w:type="firstCol">
      <w:rPr>
        <w:b/>
        <w:bCs/>
      </w:rPr>
    </w:tblStylePr>
    <w:tblStylePr w:type="lastCol">
      <w:rPr>
        <w:b/>
        <w:bCs/>
      </w:rPr>
    </w:tblStylePr>
    <w:tblStylePr w:type="band1Vert">
      <w:tblPr/>
      <w:tcPr>
        <w:shd w:val="clear" w:color="auto" w:fill="DEDBD7" w:themeFill="accent2" w:themeFillTint="3F"/>
      </w:tcPr>
    </w:tblStylePr>
    <w:tblStylePr w:type="band1Horz">
      <w:tblPr/>
      <w:tcPr>
        <w:tcBorders>
          <w:insideH w:val="nil"/>
          <w:insideV w:val="nil"/>
        </w:tcBorders>
        <w:shd w:val="clear" w:color="auto" w:fill="DEDB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05AD7D" w:themeColor="accent3" w:themeTint="BF"/>
        <w:left w:val="single" w:sz="8" w:space="0" w:color="05AD7D" w:themeColor="accent3" w:themeTint="BF"/>
        <w:bottom w:val="single" w:sz="8" w:space="0" w:color="05AD7D" w:themeColor="accent3" w:themeTint="BF"/>
        <w:right w:val="single" w:sz="8" w:space="0" w:color="05AD7D" w:themeColor="accent3" w:themeTint="BF"/>
        <w:insideH w:val="single" w:sz="8" w:space="0" w:color="05AD7D" w:themeColor="accent3" w:themeTint="BF"/>
      </w:tblBorders>
    </w:tblPr>
    <w:tblStylePr w:type="firstRow">
      <w:pPr>
        <w:spacing w:before="0" w:after="0" w:line="240" w:lineRule="auto"/>
      </w:pPr>
      <w:rPr>
        <w:b/>
        <w:bCs/>
        <w:color w:val="FFFFFF" w:themeColor="background1"/>
      </w:rPr>
      <w:tblPr/>
      <w:tcPr>
        <w:tcBorders>
          <w:top w:val="single" w:sz="8" w:space="0" w:color="05AD7D" w:themeColor="accent3" w:themeTint="BF"/>
          <w:left w:val="single" w:sz="8" w:space="0" w:color="05AD7D" w:themeColor="accent3" w:themeTint="BF"/>
          <w:bottom w:val="single" w:sz="8" w:space="0" w:color="05AD7D" w:themeColor="accent3" w:themeTint="BF"/>
          <w:right w:val="single" w:sz="8" w:space="0" w:color="05AD7D" w:themeColor="accent3" w:themeTint="BF"/>
          <w:insideH w:val="nil"/>
          <w:insideV w:val="nil"/>
        </w:tcBorders>
        <w:shd w:val="clear" w:color="auto" w:fill="024230" w:themeFill="accent3"/>
      </w:tcPr>
    </w:tblStylePr>
    <w:tblStylePr w:type="lastRow">
      <w:pPr>
        <w:spacing w:before="0" w:after="0" w:line="240" w:lineRule="auto"/>
      </w:pPr>
      <w:rPr>
        <w:b/>
        <w:bCs/>
      </w:rPr>
      <w:tblPr/>
      <w:tcPr>
        <w:tcBorders>
          <w:top w:val="double" w:sz="6" w:space="0" w:color="05AD7D" w:themeColor="accent3" w:themeTint="BF"/>
          <w:left w:val="single" w:sz="8" w:space="0" w:color="05AD7D" w:themeColor="accent3" w:themeTint="BF"/>
          <w:bottom w:val="single" w:sz="8" w:space="0" w:color="05AD7D" w:themeColor="accent3" w:themeTint="BF"/>
          <w:right w:val="single" w:sz="8" w:space="0" w:color="05AD7D" w:themeColor="accent3" w:themeTint="BF"/>
          <w:insideH w:val="nil"/>
          <w:insideV w:val="nil"/>
        </w:tcBorders>
      </w:tcPr>
    </w:tblStylePr>
    <w:tblStylePr w:type="firstCol">
      <w:rPr>
        <w:b/>
        <w:bCs/>
      </w:rPr>
    </w:tblStylePr>
    <w:tblStylePr w:type="lastCol">
      <w:rPr>
        <w:b/>
        <w:bCs/>
      </w:rPr>
    </w:tblStylePr>
    <w:tblStylePr w:type="band1Vert">
      <w:tblPr/>
      <w:tcPr>
        <w:shd w:val="clear" w:color="auto" w:fill="94FBDE" w:themeFill="accent3" w:themeFillTint="3F"/>
      </w:tcPr>
    </w:tblStylePr>
    <w:tblStylePr w:type="band1Horz">
      <w:tblPr/>
      <w:tcPr>
        <w:tcBorders>
          <w:insideH w:val="nil"/>
          <w:insideV w:val="nil"/>
        </w:tcBorders>
        <w:shd w:val="clear" w:color="auto" w:fill="94FBD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807871" w:themeColor="accent4" w:themeTint="BF"/>
        <w:left w:val="single" w:sz="8" w:space="0" w:color="807871" w:themeColor="accent4" w:themeTint="BF"/>
        <w:bottom w:val="single" w:sz="8" w:space="0" w:color="807871" w:themeColor="accent4" w:themeTint="BF"/>
        <w:right w:val="single" w:sz="8" w:space="0" w:color="807871" w:themeColor="accent4" w:themeTint="BF"/>
        <w:insideH w:val="single" w:sz="8" w:space="0" w:color="807871" w:themeColor="accent4" w:themeTint="BF"/>
      </w:tblBorders>
    </w:tblPr>
    <w:tblStylePr w:type="firstRow">
      <w:pPr>
        <w:spacing w:before="0" w:after="0" w:line="240" w:lineRule="auto"/>
      </w:pPr>
      <w:rPr>
        <w:b/>
        <w:bCs/>
        <w:color w:val="FFFFFF" w:themeColor="background1"/>
      </w:rPr>
      <w:tblPr/>
      <w:tcPr>
        <w:tcBorders>
          <w:top w:val="single" w:sz="8" w:space="0" w:color="807871" w:themeColor="accent4" w:themeTint="BF"/>
          <w:left w:val="single" w:sz="8" w:space="0" w:color="807871" w:themeColor="accent4" w:themeTint="BF"/>
          <w:bottom w:val="single" w:sz="8" w:space="0" w:color="807871" w:themeColor="accent4" w:themeTint="BF"/>
          <w:right w:val="single" w:sz="8" w:space="0" w:color="807871" w:themeColor="accent4" w:themeTint="BF"/>
          <w:insideH w:val="nil"/>
          <w:insideV w:val="nil"/>
        </w:tcBorders>
        <w:shd w:val="clear" w:color="auto" w:fill="514C47" w:themeFill="accent4"/>
      </w:tcPr>
    </w:tblStylePr>
    <w:tblStylePr w:type="lastRow">
      <w:pPr>
        <w:spacing w:before="0" w:after="0" w:line="240" w:lineRule="auto"/>
      </w:pPr>
      <w:rPr>
        <w:b/>
        <w:bCs/>
      </w:rPr>
      <w:tblPr/>
      <w:tcPr>
        <w:tcBorders>
          <w:top w:val="double" w:sz="6" w:space="0" w:color="807871" w:themeColor="accent4" w:themeTint="BF"/>
          <w:left w:val="single" w:sz="8" w:space="0" w:color="807871" w:themeColor="accent4" w:themeTint="BF"/>
          <w:bottom w:val="single" w:sz="8" w:space="0" w:color="807871" w:themeColor="accent4" w:themeTint="BF"/>
          <w:right w:val="single" w:sz="8" w:space="0" w:color="807871" w:themeColor="accent4" w:themeTint="BF"/>
          <w:insideH w:val="nil"/>
          <w:insideV w:val="nil"/>
        </w:tcBorders>
      </w:tcPr>
    </w:tblStylePr>
    <w:tblStylePr w:type="firstCol">
      <w:rPr>
        <w:b/>
        <w:bCs/>
      </w:rPr>
    </w:tblStylePr>
    <w:tblStylePr w:type="lastCol">
      <w:rPr>
        <w:b/>
        <w:bCs/>
      </w:rPr>
    </w:tblStylePr>
    <w:tblStylePr w:type="band1Vert">
      <w:tblPr/>
      <w:tcPr>
        <w:shd w:val="clear" w:color="auto" w:fill="D5D2CF" w:themeFill="accent4" w:themeFillTint="3F"/>
      </w:tcPr>
    </w:tblStylePr>
    <w:tblStylePr w:type="band1Horz">
      <w:tblPr/>
      <w:tcPr>
        <w:tcBorders>
          <w:insideH w:val="nil"/>
          <w:insideV w:val="nil"/>
        </w:tcBorders>
        <w:shd w:val="clear" w:color="auto" w:fill="D5D2C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BFD705" w:themeColor="accent5" w:themeTint="BF"/>
        <w:left w:val="single" w:sz="8" w:space="0" w:color="BFD705" w:themeColor="accent5" w:themeTint="BF"/>
        <w:bottom w:val="single" w:sz="8" w:space="0" w:color="BFD705" w:themeColor="accent5" w:themeTint="BF"/>
        <w:right w:val="single" w:sz="8" w:space="0" w:color="BFD705" w:themeColor="accent5" w:themeTint="BF"/>
        <w:insideH w:val="single" w:sz="8" w:space="0" w:color="BFD705" w:themeColor="accent5" w:themeTint="BF"/>
      </w:tblBorders>
    </w:tblPr>
    <w:tblStylePr w:type="firstRow">
      <w:pPr>
        <w:spacing w:before="0" w:after="0" w:line="240" w:lineRule="auto"/>
      </w:pPr>
      <w:rPr>
        <w:b/>
        <w:bCs/>
        <w:color w:val="FFFFFF" w:themeColor="background1"/>
      </w:rPr>
      <w:tblPr/>
      <w:tcPr>
        <w:tcBorders>
          <w:top w:val="single" w:sz="8" w:space="0" w:color="BFD705" w:themeColor="accent5" w:themeTint="BF"/>
          <w:left w:val="single" w:sz="8" w:space="0" w:color="BFD705" w:themeColor="accent5" w:themeTint="BF"/>
          <w:bottom w:val="single" w:sz="8" w:space="0" w:color="BFD705" w:themeColor="accent5" w:themeTint="BF"/>
          <w:right w:val="single" w:sz="8" w:space="0" w:color="BFD705" w:themeColor="accent5" w:themeTint="BF"/>
          <w:insideH w:val="nil"/>
          <w:insideV w:val="nil"/>
        </w:tcBorders>
        <w:shd w:val="clear" w:color="auto" w:fill="6C7A03" w:themeFill="accent5"/>
      </w:tcPr>
    </w:tblStylePr>
    <w:tblStylePr w:type="lastRow">
      <w:pPr>
        <w:spacing w:before="0" w:after="0" w:line="240" w:lineRule="auto"/>
      </w:pPr>
      <w:rPr>
        <w:b/>
        <w:bCs/>
      </w:rPr>
      <w:tblPr/>
      <w:tcPr>
        <w:tcBorders>
          <w:top w:val="double" w:sz="6" w:space="0" w:color="BFD705" w:themeColor="accent5" w:themeTint="BF"/>
          <w:left w:val="single" w:sz="8" w:space="0" w:color="BFD705" w:themeColor="accent5" w:themeTint="BF"/>
          <w:bottom w:val="single" w:sz="8" w:space="0" w:color="BFD705" w:themeColor="accent5" w:themeTint="BF"/>
          <w:right w:val="single" w:sz="8" w:space="0" w:color="BFD705" w:themeColor="accent5" w:themeTint="BF"/>
          <w:insideH w:val="nil"/>
          <w:insideV w:val="nil"/>
        </w:tcBorders>
      </w:tcPr>
    </w:tblStylePr>
    <w:tblStylePr w:type="firstCol">
      <w:rPr>
        <w:b/>
        <w:bCs/>
      </w:rPr>
    </w:tblStylePr>
    <w:tblStylePr w:type="lastCol">
      <w:rPr>
        <w:b/>
        <w:bCs/>
      </w:rPr>
    </w:tblStylePr>
    <w:tblStylePr w:type="band1Vert">
      <w:tblPr/>
      <w:tcPr>
        <w:shd w:val="clear" w:color="auto" w:fill="F2FCA1" w:themeFill="accent5" w:themeFillTint="3F"/>
      </w:tcPr>
    </w:tblStylePr>
    <w:tblStylePr w:type="band1Horz">
      <w:tblPr/>
      <w:tcPr>
        <w:tcBorders>
          <w:insideH w:val="nil"/>
          <w:insideV w:val="nil"/>
        </w:tcBorders>
        <w:shd w:val="clear" w:color="auto" w:fill="F2FCA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03E83D" w:themeColor="accent6" w:themeTint="BF"/>
        <w:left w:val="single" w:sz="8" w:space="0" w:color="03E83D" w:themeColor="accent6" w:themeTint="BF"/>
        <w:bottom w:val="single" w:sz="8" w:space="0" w:color="03E83D" w:themeColor="accent6" w:themeTint="BF"/>
        <w:right w:val="single" w:sz="8" w:space="0" w:color="03E83D" w:themeColor="accent6" w:themeTint="BF"/>
        <w:insideH w:val="single" w:sz="8" w:space="0" w:color="03E83D" w:themeColor="accent6" w:themeTint="BF"/>
      </w:tblBorders>
    </w:tblPr>
    <w:tblStylePr w:type="firstRow">
      <w:pPr>
        <w:spacing w:before="0" w:after="0" w:line="240" w:lineRule="auto"/>
      </w:pPr>
      <w:rPr>
        <w:b/>
        <w:bCs/>
        <w:color w:val="FFFFFF" w:themeColor="background1"/>
      </w:rPr>
      <w:tblPr/>
      <w:tcPr>
        <w:tcBorders>
          <w:top w:val="single" w:sz="8" w:space="0" w:color="03E83D" w:themeColor="accent6" w:themeTint="BF"/>
          <w:left w:val="single" w:sz="8" w:space="0" w:color="03E83D" w:themeColor="accent6" w:themeTint="BF"/>
          <w:bottom w:val="single" w:sz="8" w:space="0" w:color="03E83D" w:themeColor="accent6" w:themeTint="BF"/>
          <w:right w:val="single" w:sz="8" w:space="0" w:color="03E83D" w:themeColor="accent6" w:themeTint="BF"/>
          <w:insideH w:val="nil"/>
          <w:insideV w:val="nil"/>
        </w:tcBorders>
        <w:shd w:val="clear" w:color="auto" w:fill="028E26" w:themeFill="accent6"/>
      </w:tcPr>
    </w:tblStylePr>
    <w:tblStylePr w:type="lastRow">
      <w:pPr>
        <w:spacing w:before="0" w:after="0" w:line="240" w:lineRule="auto"/>
      </w:pPr>
      <w:rPr>
        <w:b/>
        <w:bCs/>
      </w:rPr>
      <w:tblPr/>
      <w:tcPr>
        <w:tcBorders>
          <w:top w:val="double" w:sz="6" w:space="0" w:color="03E83D" w:themeColor="accent6" w:themeTint="BF"/>
          <w:left w:val="single" w:sz="8" w:space="0" w:color="03E83D" w:themeColor="accent6" w:themeTint="BF"/>
          <w:bottom w:val="single" w:sz="8" w:space="0" w:color="03E83D" w:themeColor="accent6" w:themeTint="BF"/>
          <w:right w:val="single" w:sz="8" w:space="0" w:color="03E83D" w:themeColor="accent6" w:themeTint="BF"/>
          <w:insideH w:val="nil"/>
          <w:insideV w:val="nil"/>
        </w:tcBorders>
      </w:tcPr>
    </w:tblStylePr>
    <w:tblStylePr w:type="firstCol">
      <w:rPr>
        <w:b/>
        <w:bCs/>
      </w:rPr>
    </w:tblStylePr>
    <w:tblStylePr w:type="lastCol">
      <w:rPr>
        <w:b/>
        <w:bCs/>
      </w:rPr>
    </w:tblStylePr>
    <w:tblStylePr w:type="band1Vert">
      <w:tblPr/>
      <w:tcPr>
        <w:shd w:val="clear" w:color="auto" w:fill="A5FDBC" w:themeFill="accent6" w:themeFillTint="3F"/>
      </w:tcPr>
    </w:tblStylePr>
    <w:tblStylePr w:type="band1Horz">
      <w:tblPr/>
      <w:tcPr>
        <w:tcBorders>
          <w:insideH w:val="nil"/>
          <w:insideV w:val="nil"/>
        </w:tcBorders>
        <w:shd w:val="clear" w:color="auto" w:fill="A5FDBC"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84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848" w:themeFill="accent1"/>
      </w:tcPr>
    </w:tblStylePr>
    <w:tblStylePr w:type="lastCol">
      <w:rPr>
        <w:b/>
        <w:bCs/>
        <w:color w:val="FFFFFF" w:themeColor="background1"/>
      </w:rPr>
      <w:tblPr/>
      <w:tcPr>
        <w:tcBorders>
          <w:left w:val="nil"/>
          <w:right w:val="nil"/>
          <w:insideH w:val="nil"/>
          <w:insideV w:val="nil"/>
        </w:tcBorders>
        <w:shd w:val="clear" w:color="auto" w:fill="00684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76E6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76E64" w:themeFill="accent2"/>
      </w:tcPr>
    </w:tblStylePr>
    <w:tblStylePr w:type="lastCol">
      <w:rPr>
        <w:b/>
        <w:bCs/>
        <w:color w:val="FFFFFF" w:themeColor="background1"/>
      </w:rPr>
      <w:tblPr/>
      <w:tcPr>
        <w:tcBorders>
          <w:left w:val="nil"/>
          <w:right w:val="nil"/>
          <w:insideH w:val="nil"/>
          <w:insideV w:val="nil"/>
        </w:tcBorders>
        <w:shd w:val="clear" w:color="auto" w:fill="776E6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2423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24230" w:themeFill="accent3"/>
      </w:tcPr>
    </w:tblStylePr>
    <w:tblStylePr w:type="lastCol">
      <w:rPr>
        <w:b/>
        <w:bCs/>
        <w:color w:val="FFFFFF" w:themeColor="background1"/>
      </w:rPr>
      <w:tblPr/>
      <w:tcPr>
        <w:tcBorders>
          <w:left w:val="nil"/>
          <w:right w:val="nil"/>
          <w:insideH w:val="nil"/>
          <w:insideV w:val="nil"/>
        </w:tcBorders>
        <w:shd w:val="clear" w:color="auto" w:fill="02423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14C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14C47" w:themeFill="accent4"/>
      </w:tcPr>
    </w:tblStylePr>
    <w:tblStylePr w:type="lastCol">
      <w:rPr>
        <w:b/>
        <w:bCs/>
        <w:color w:val="FFFFFF" w:themeColor="background1"/>
      </w:rPr>
      <w:tblPr/>
      <w:tcPr>
        <w:tcBorders>
          <w:left w:val="nil"/>
          <w:right w:val="nil"/>
          <w:insideH w:val="nil"/>
          <w:insideV w:val="nil"/>
        </w:tcBorders>
        <w:shd w:val="clear" w:color="auto" w:fill="514C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C7A0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C7A03" w:themeFill="accent5"/>
      </w:tcPr>
    </w:tblStylePr>
    <w:tblStylePr w:type="lastCol">
      <w:rPr>
        <w:b/>
        <w:bCs/>
        <w:color w:val="FFFFFF" w:themeColor="background1"/>
      </w:rPr>
      <w:tblPr/>
      <w:tcPr>
        <w:tcBorders>
          <w:left w:val="nil"/>
          <w:right w:val="nil"/>
          <w:insideH w:val="nil"/>
          <w:insideV w:val="nil"/>
        </w:tcBorders>
        <w:shd w:val="clear" w:color="auto" w:fill="6C7A0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28E2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28E26" w:themeFill="accent6"/>
      </w:tcPr>
    </w:tblStylePr>
    <w:tblStylePr w:type="lastCol">
      <w:rPr>
        <w:b/>
        <w:bCs/>
        <w:color w:val="FFFFFF" w:themeColor="background1"/>
      </w:rPr>
      <w:tblPr/>
      <w:tcPr>
        <w:tcBorders>
          <w:left w:val="nil"/>
          <w:right w:val="nil"/>
          <w:insideH w:val="nil"/>
          <w:insideV w:val="nil"/>
        </w:tcBorders>
        <w:shd w:val="clear" w:color="auto" w:fill="028E2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006848" w:themeColor="accent1"/>
        <w:bottom w:val="single" w:sz="8" w:space="0" w:color="006848" w:themeColor="accent1"/>
      </w:tblBorders>
    </w:tblPr>
    <w:tblStylePr w:type="firstRow">
      <w:rPr>
        <w:rFonts w:asciiTheme="majorHAnsi" w:eastAsiaTheme="majorEastAsia" w:hAnsiTheme="majorHAnsi" w:cstheme="majorBidi"/>
      </w:rPr>
      <w:tblPr/>
      <w:tcPr>
        <w:tcBorders>
          <w:top w:val="nil"/>
          <w:bottom w:val="single" w:sz="8" w:space="0" w:color="006848" w:themeColor="accent1"/>
        </w:tcBorders>
      </w:tcPr>
    </w:tblStylePr>
    <w:tblStylePr w:type="lastRow">
      <w:rPr>
        <w:b/>
        <w:bCs/>
        <w:color w:val="1F497D" w:themeColor="text2"/>
      </w:rPr>
      <w:tblPr/>
      <w:tcPr>
        <w:tcBorders>
          <w:top w:val="single" w:sz="8" w:space="0" w:color="006848" w:themeColor="accent1"/>
          <w:bottom w:val="single" w:sz="8" w:space="0" w:color="006848" w:themeColor="accent1"/>
        </w:tcBorders>
      </w:tcPr>
    </w:tblStylePr>
    <w:tblStylePr w:type="firstCol">
      <w:rPr>
        <w:b/>
        <w:bCs/>
      </w:rPr>
    </w:tblStylePr>
    <w:tblStylePr w:type="lastCol">
      <w:rPr>
        <w:b/>
        <w:bCs/>
      </w:rPr>
      <w:tblPr/>
      <w:tcPr>
        <w:tcBorders>
          <w:top w:val="single" w:sz="8" w:space="0" w:color="006848" w:themeColor="accent1"/>
          <w:bottom w:val="single" w:sz="8" w:space="0" w:color="006848" w:themeColor="accent1"/>
        </w:tcBorders>
      </w:tcPr>
    </w:tblStylePr>
    <w:tblStylePr w:type="band1Vert">
      <w:tblPr/>
      <w:tcPr>
        <w:shd w:val="clear" w:color="auto" w:fill="9AFFDF" w:themeFill="accent1" w:themeFillTint="3F"/>
      </w:tcPr>
    </w:tblStylePr>
    <w:tblStylePr w:type="band1Horz">
      <w:tblPr/>
      <w:tcPr>
        <w:shd w:val="clear" w:color="auto" w:fill="9AFFDF"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776E64" w:themeColor="accent2"/>
        <w:bottom w:val="single" w:sz="8" w:space="0" w:color="776E64" w:themeColor="accent2"/>
      </w:tblBorders>
    </w:tblPr>
    <w:tblStylePr w:type="firstRow">
      <w:rPr>
        <w:rFonts w:asciiTheme="majorHAnsi" w:eastAsiaTheme="majorEastAsia" w:hAnsiTheme="majorHAnsi" w:cstheme="majorBidi"/>
      </w:rPr>
      <w:tblPr/>
      <w:tcPr>
        <w:tcBorders>
          <w:top w:val="nil"/>
          <w:bottom w:val="single" w:sz="8" w:space="0" w:color="776E64" w:themeColor="accent2"/>
        </w:tcBorders>
      </w:tcPr>
    </w:tblStylePr>
    <w:tblStylePr w:type="lastRow">
      <w:rPr>
        <w:b/>
        <w:bCs/>
        <w:color w:val="1F497D" w:themeColor="text2"/>
      </w:rPr>
      <w:tblPr/>
      <w:tcPr>
        <w:tcBorders>
          <w:top w:val="single" w:sz="8" w:space="0" w:color="776E64" w:themeColor="accent2"/>
          <w:bottom w:val="single" w:sz="8" w:space="0" w:color="776E64" w:themeColor="accent2"/>
        </w:tcBorders>
      </w:tcPr>
    </w:tblStylePr>
    <w:tblStylePr w:type="firstCol">
      <w:rPr>
        <w:b/>
        <w:bCs/>
      </w:rPr>
    </w:tblStylePr>
    <w:tblStylePr w:type="lastCol">
      <w:rPr>
        <w:b/>
        <w:bCs/>
      </w:rPr>
      <w:tblPr/>
      <w:tcPr>
        <w:tcBorders>
          <w:top w:val="single" w:sz="8" w:space="0" w:color="776E64" w:themeColor="accent2"/>
          <w:bottom w:val="single" w:sz="8" w:space="0" w:color="776E64" w:themeColor="accent2"/>
        </w:tcBorders>
      </w:tcPr>
    </w:tblStylePr>
    <w:tblStylePr w:type="band1Vert">
      <w:tblPr/>
      <w:tcPr>
        <w:shd w:val="clear" w:color="auto" w:fill="DEDBD7" w:themeFill="accent2" w:themeFillTint="3F"/>
      </w:tcPr>
    </w:tblStylePr>
    <w:tblStylePr w:type="band1Horz">
      <w:tblPr/>
      <w:tcPr>
        <w:shd w:val="clear" w:color="auto" w:fill="DEDBD7"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024230" w:themeColor="accent3"/>
        <w:bottom w:val="single" w:sz="8" w:space="0" w:color="024230" w:themeColor="accent3"/>
      </w:tblBorders>
    </w:tblPr>
    <w:tblStylePr w:type="firstRow">
      <w:rPr>
        <w:rFonts w:asciiTheme="majorHAnsi" w:eastAsiaTheme="majorEastAsia" w:hAnsiTheme="majorHAnsi" w:cstheme="majorBidi"/>
      </w:rPr>
      <w:tblPr/>
      <w:tcPr>
        <w:tcBorders>
          <w:top w:val="nil"/>
          <w:bottom w:val="single" w:sz="8" w:space="0" w:color="024230" w:themeColor="accent3"/>
        </w:tcBorders>
      </w:tcPr>
    </w:tblStylePr>
    <w:tblStylePr w:type="lastRow">
      <w:rPr>
        <w:b/>
        <w:bCs/>
        <w:color w:val="1F497D" w:themeColor="text2"/>
      </w:rPr>
      <w:tblPr/>
      <w:tcPr>
        <w:tcBorders>
          <w:top w:val="single" w:sz="8" w:space="0" w:color="024230" w:themeColor="accent3"/>
          <w:bottom w:val="single" w:sz="8" w:space="0" w:color="024230" w:themeColor="accent3"/>
        </w:tcBorders>
      </w:tcPr>
    </w:tblStylePr>
    <w:tblStylePr w:type="firstCol">
      <w:rPr>
        <w:b/>
        <w:bCs/>
      </w:rPr>
    </w:tblStylePr>
    <w:tblStylePr w:type="lastCol">
      <w:rPr>
        <w:b/>
        <w:bCs/>
      </w:rPr>
      <w:tblPr/>
      <w:tcPr>
        <w:tcBorders>
          <w:top w:val="single" w:sz="8" w:space="0" w:color="024230" w:themeColor="accent3"/>
          <w:bottom w:val="single" w:sz="8" w:space="0" w:color="024230" w:themeColor="accent3"/>
        </w:tcBorders>
      </w:tcPr>
    </w:tblStylePr>
    <w:tblStylePr w:type="band1Vert">
      <w:tblPr/>
      <w:tcPr>
        <w:shd w:val="clear" w:color="auto" w:fill="94FBDE" w:themeFill="accent3" w:themeFillTint="3F"/>
      </w:tcPr>
    </w:tblStylePr>
    <w:tblStylePr w:type="band1Horz">
      <w:tblPr/>
      <w:tcPr>
        <w:shd w:val="clear" w:color="auto" w:fill="94FBDE"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514C47" w:themeColor="accent4"/>
        <w:bottom w:val="single" w:sz="8" w:space="0" w:color="514C47" w:themeColor="accent4"/>
      </w:tblBorders>
    </w:tblPr>
    <w:tblStylePr w:type="firstRow">
      <w:rPr>
        <w:rFonts w:asciiTheme="majorHAnsi" w:eastAsiaTheme="majorEastAsia" w:hAnsiTheme="majorHAnsi" w:cstheme="majorBidi"/>
      </w:rPr>
      <w:tblPr/>
      <w:tcPr>
        <w:tcBorders>
          <w:top w:val="nil"/>
          <w:bottom w:val="single" w:sz="8" w:space="0" w:color="514C47" w:themeColor="accent4"/>
        </w:tcBorders>
      </w:tcPr>
    </w:tblStylePr>
    <w:tblStylePr w:type="lastRow">
      <w:rPr>
        <w:b/>
        <w:bCs/>
        <w:color w:val="1F497D" w:themeColor="text2"/>
      </w:rPr>
      <w:tblPr/>
      <w:tcPr>
        <w:tcBorders>
          <w:top w:val="single" w:sz="8" w:space="0" w:color="514C47" w:themeColor="accent4"/>
          <w:bottom w:val="single" w:sz="8" w:space="0" w:color="514C47" w:themeColor="accent4"/>
        </w:tcBorders>
      </w:tcPr>
    </w:tblStylePr>
    <w:tblStylePr w:type="firstCol">
      <w:rPr>
        <w:b/>
        <w:bCs/>
      </w:rPr>
    </w:tblStylePr>
    <w:tblStylePr w:type="lastCol">
      <w:rPr>
        <w:b/>
        <w:bCs/>
      </w:rPr>
      <w:tblPr/>
      <w:tcPr>
        <w:tcBorders>
          <w:top w:val="single" w:sz="8" w:space="0" w:color="514C47" w:themeColor="accent4"/>
          <w:bottom w:val="single" w:sz="8" w:space="0" w:color="514C47" w:themeColor="accent4"/>
        </w:tcBorders>
      </w:tcPr>
    </w:tblStylePr>
    <w:tblStylePr w:type="band1Vert">
      <w:tblPr/>
      <w:tcPr>
        <w:shd w:val="clear" w:color="auto" w:fill="D5D2CF" w:themeFill="accent4" w:themeFillTint="3F"/>
      </w:tcPr>
    </w:tblStylePr>
    <w:tblStylePr w:type="band1Horz">
      <w:tblPr/>
      <w:tcPr>
        <w:shd w:val="clear" w:color="auto" w:fill="D5D2CF"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6C7A03" w:themeColor="accent5"/>
        <w:bottom w:val="single" w:sz="8" w:space="0" w:color="6C7A03" w:themeColor="accent5"/>
      </w:tblBorders>
    </w:tblPr>
    <w:tblStylePr w:type="firstRow">
      <w:rPr>
        <w:rFonts w:asciiTheme="majorHAnsi" w:eastAsiaTheme="majorEastAsia" w:hAnsiTheme="majorHAnsi" w:cstheme="majorBidi"/>
      </w:rPr>
      <w:tblPr/>
      <w:tcPr>
        <w:tcBorders>
          <w:top w:val="nil"/>
          <w:bottom w:val="single" w:sz="8" w:space="0" w:color="6C7A03" w:themeColor="accent5"/>
        </w:tcBorders>
      </w:tcPr>
    </w:tblStylePr>
    <w:tblStylePr w:type="lastRow">
      <w:rPr>
        <w:b/>
        <w:bCs/>
        <w:color w:val="1F497D" w:themeColor="text2"/>
      </w:rPr>
      <w:tblPr/>
      <w:tcPr>
        <w:tcBorders>
          <w:top w:val="single" w:sz="8" w:space="0" w:color="6C7A03" w:themeColor="accent5"/>
          <w:bottom w:val="single" w:sz="8" w:space="0" w:color="6C7A03" w:themeColor="accent5"/>
        </w:tcBorders>
      </w:tcPr>
    </w:tblStylePr>
    <w:tblStylePr w:type="firstCol">
      <w:rPr>
        <w:b/>
        <w:bCs/>
      </w:rPr>
    </w:tblStylePr>
    <w:tblStylePr w:type="lastCol">
      <w:rPr>
        <w:b/>
        <w:bCs/>
      </w:rPr>
      <w:tblPr/>
      <w:tcPr>
        <w:tcBorders>
          <w:top w:val="single" w:sz="8" w:space="0" w:color="6C7A03" w:themeColor="accent5"/>
          <w:bottom w:val="single" w:sz="8" w:space="0" w:color="6C7A03" w:themeColor="accent5"/>
        </w:tcBorders>
      </w:tcPr>
    </w:tblStylePr>
    <w:tblStylePr w:type="band1Vert">
      <w:tblPr/>
      <w:tcPr>
        <w:shd w:val="clear" w:color="auto" w:fill="F2FCA1" w:themeFill="accent5" w:themeFillTint="3F"/>
      </w:tcPr>
    </w:tblStylePr>
    <w:tblStylePr w:type="band1Horz">
      <w:tblPr/>
      <w:tcPr>
        <w:shd w:val="clear" w:color="auto" w:fill="F2FCA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028E26" w:themeColor="accent6"/>
        <w:bottom w:val="single" w:sz="8" w:space="0" w:color="028E26" w:themeColor="accent6"/>
      </w:tblBorders>
    </w:tblPr>
    <w:tblStylePr w:type="firstRow">
      <w:rPr>
        <w:rFonts w:asciiTheme="majorHAnsi" w:eastAsiaTheme="majorEastAsia" w:hAnsiTheme="majorHAnsi" w:cstheme="majorBidi"/>
      </w:rPr>
      <w:tblPr/>
      <w:tcPr>
        <w:tcBorders>
          <w:top w:val="nil"/>
          <w:bottom w:val="single" w:sz="8" w:space="0" w:color="028E26" w:themeColor="accent6"/>
        </w:tcBorders>
      </w:tcPr>
    </w:tblStylePr>
    <w:tblStylePr w:type="lastRow">
      <w:rPr>
        <w:b/>
        <w:bCs/>
        <w:color w:val="1F497D" w:themeColor="text2"/>
      </w:rPr>
      <w:tblPr/>
      <w:tcPr>
        <w:tcBorders>
          <w:top w:val="single" w:sz="8" w:space="0" w:color="028E26" w:themeColor="accent6"/>
          <w:bottom w:val="single" w:sz="8" w:space="0" w:color="028E26" w:themeColor="accent6"/>
        </w:tcBorders>
      </w:tcPr>
    </w:tblStylePr>
    <w:tblStylePr w:type="firstCol">
      <w:rPr>
        <w:b/>
        <w:bCs/>
      </w:rPr>
    </w:tblStylePr>
    <w:tblStylePr w:type="lastCol">
      <w:rPr>
        <w:b/>
        <w:bCs/>
      </w:rPr>
      <w:tblPr/>
      <w:tcPr>
        <w:tcBorders>
          <w:top w:val="single" w:sz="8" w:space="0" w:color="028E26" w:themeColor="accent6"/>
          <w:bottom w:val="single" w:sz="8" w:space="0" w:color="028E26" w:themeColor="accent6"/>
        </w:tcBorders>
      </w:tcPr>
    </w:tblStylePr>
    <w:tblStylePr w:type="band1Vert">
      <w:tblPr/>
      <w:tcPr>
        <w:shd w:val="clear" w:color="auto" w:fill="A5FDBC" w:themeFill="accent6" w:themeFillTint="3F"/>
      </w:tcPr>
    </w:tblStylePr>
    <w:tblStylePr w:type="band1Horz">
      <w:tblPr/>
      <w:tcPr>
        <w:shd w:val="clear" w:color="auto" w:fill="A5FDBC"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848" w:themeColor="accent1"/>
        <w:left w:val="single" w:sz="8" w:space="0" w:color="006848" w:themeColor="accent1"/>
        <w:bottom w:val="single" w:sz="8" w:space="0" w:color="006848" w:themeColor="accent1"/>
        <w:right w:val="single" w:sz="8" w:space="0" w:color="006848" w:themeColor="accent1"/>
      </w:tblBorders>
    </w:tblPr>
    <w:tblStylePr w:type="firstRow">
      <w:rPr>
        <w:sz w:val="24"/>
        <w:szCs w:val="24"/>
      </w:rPr>
      <w:tblPr/>
      <w:tcPr>
        <w:tcBorders>
          <w:top w:val="nil"/>
          <w:left w:val="nil"/>
          <w:bottom w:val="single" w:sz="24" w:space="0" w:color="006848" w:themeColor="accent1"/>
          <w:right w:val="nil"/>
          <w:insideH w:val="nil"/>
          <w:insideV w:val="nil"/>
        </w:tcBorders>
        <w:shd w:val="clear" w:color="auto" w:fill="FFFFFF" w:themeFill="background1"/>
      </w:tcPr>
    </w:tblStylePr>
    <w:tblStylePr w:type="lastRow">
      <w:tblPr/>
      <w:tcPr>
        <w:tcBorders>
          <w:top w:val="single" w:sz="8" w:space="0" w:color="00684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848" w:themeColor="accent1"/>
          <w:insideH w:val="nil"/>
          <w:insideV w:val="nil"/>
        </w:tcBorders>
        <w:shd w:val="clear" w:color="auto" w:fill="FFFFFF" w:themeFill="background1"/>
      </w:tcPr>
    </w:tblStylePr>
    <w:tblStylePr w:type="lastCol">
      <w:tblPr/>
      <w:tcPr>
        <w:tcBorders>
          <w:top w:val="nil"/>
          <w:left w:val="single" w:sz="8" w:space="0" w:color="00684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FDF" w:themeFill="accent1" w:themeFillTint="3F"/>
      </w:tcPr>
    </w:tblStylePr>
    <w:tblStylePr w:type="band1Horz">
      <w:tblPr/>
      <w:tcPr>
        <w:tcBorders>
          <w:top w:val="nil"/>
          <w:bottom w:val="nil"/>
          <w:insideH w:val="nil"/>
          <w:insideV w:val="nil"/>
        </w:tcBorders>
        <w:shd w:val="clear" w:color="auto" w:fill="9AFFD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76E64" w:themeColor="accent2"/>
        <w:left w:val="single" w:sz="8" w:space="0" w:color="776E64" w:themeColor="accent2"/>
        <w:bottom w:val="single" w:sz="8" w:space="0" w:color="776E64" w:themeColor="accent2"/>
        <w:right w:val="single" w:sz="8" w:space="0" w:color="776E64" w:themeColor="accent2"/>
      </w:tblBorders>
    </w:tblPr>
    <w:tblStylePr w:type="firstRow">
      <w:rPr>
        <w:sz w:val="24"/>
        <w:szCs w:val="24"/>
      </w:rPr>
      <w:tblPr/>
      <w:tcPr>
        <w:tcBorders>
          <w:top w:val="nil"/>
          <w:left w:val="nil"/>
          <w:bottom w:val="single" w:sz="24" w:space="0" w:color="776E64" w:themeColor="accent2"/>
          <w:right w:val="nil"/>
          <w:insideH w:val="nil"/>
          <w:insideV w:val="nil"/>
        </w:tcBorders>
        <w:shd w:val="clear" w:color="auto" w:fill="FFFFFF" w:themeFill="background1"/>
      </w:tcPr>
    </w:tblStylePr>
    <w:tblStylePr w:type="lastRow">
      <w:tblPr/>
      <w:tcPr>
        <w:tcBorders>
          <w:top w:val="single" w:sz="8" w:space="0" w:color="776E64"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76E64" w:themeColor="accent2"/>
          <w:insideH w:val="nil"/>
          <w:insideV w:val="nil"/>
        </w:tcBorders>
        <w:shd w:val="clear" w:color="auto" w:fill="FFFFFF" w:themeFill="background1"/>
      </w:tcPr>
    </w:tblStylePr>
    <w:tblStylePr w:type="lastCol">
      <w:tblPr/>
      <w:tcPr>
        <w:tcBorders>
          <w:top w:val="nil"/>
          <w:left w:val="single" w:sz="8" w:space="0" w:color="776E6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DBD7" w:themeFill="accent2" w:themeFillTint="3F"/>
      </w:tcPr>
    </w:tblStylePr>
    <w:tblStylePr w:type="band1Horz">
      <w:tblPr/>
      <w:tcPr>
        <w:tcBorders>
          <w:top w:val="nil"/>
          <w:bottom w:val="nil"/>
          <w:insideH w:val="nil"/>
          <w:insideV w:val="nil"/>
        </w:tcBorders>
        <w:shd w:val="clear" w:color="auto" w:fill="DEDB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24230" w:themeColor="accent3"/>
        <w:left w:val="single" w:sz="8" w:space="0" w:color="024230" w:themeColor="accent3"/>
        <w:bottom w:val="single" w:sz="8" w:space="0" w:color="024230" w:themeColor="accent3"/>
        <w:right w:val="single" w:sz="8" w:space="0" w:color="024230" w:themeColor="accent3"/>
      </w:tblBorders>
    </w:tblPr>
    <w:tblStylePr w:type="firstRow">
      <w:rPr>
        <w:sz w:val="24"/>
        <w:szCs w:val="24"/>
      </w:rPr>
      <w:tblPr/>
      <w:tcPr>
        <w:tcBorders>
          <w:top w:val="nil"/>
          <w:left w:val="nil"/>
          <w:bottom w:val="single" w:sz="24" w:space="0" w:color="024230" w:themeColor="accent3"/>
          <w:right w:val="nil"/>
          <w:insideH w:val="nil"/>
          <w:insideV w:val="nil"/>
        </w:tcBorders>
        <w:shd w:val="clear" w:color="auto" w:fill="FFFFFF" w:themeFill="background1"/>
      </w:tcPr>
    </w:tblStylePr>
    <w:tblStylePr w:type="lastRow">
      <w:tblPr/>
      <w:tcPr>
        <w:tcBorders>
          <w:top w:val="single" w:sz="8" w:space="0" w:color="02423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24230" w:themeColor="accent3"/>
          <w:insideH w:val="nil"/>
          <w:insideV w:val="nil"/>
        </w:tcBorders>
        <w:shd w:val="clear" w:color="auto" w:fill="FFFFFF" w:themeFill="background1"/>
      </w:tcPr>
    </w:tblStylePr>
    <w:tblStylePr w:type="lastCol">
      <w:tblPr/>
      <w:tcPr>
        <w:tcBorders>
          <w:top w:val="nil"/>
          <w:left w:val="single" w:sz="8" w:space="0" w:color="02423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4FBDE" w:themeFill="accent3" w:themeFillTint="3F"/>
      </w:tcPr>
    </w:tblStylePr>
    <w:tblStylePr w:type="band1Horz">
      <w:tblPr/>
      <w:tcPr>
        <w:tcBorders>
          <w:top w:val="nil"/>
          <w:bottom w:val="nil"/>
          <w:insideH w:val="nil"/>
          <w:insideV w:val="nil"/>
        </w:tcBorders>
        <w:shd w:val="clear" w:color="auto" w:fill="94FBD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14C47" w:themeColor="accent4"/>
        <w:left w:val="single" w:sz="8" w:space="0" w:color="514C47" w:themeColor="accent4"/>
        <w:bottom w:val="single" w:sz="8" w:space="0" w:color="514C47" w:themeColor="accent4"/>
        <w:right w:val="single" w:sz="8" w:space="0" w:color="514C47" w:themeColor="accent4"/>
      </w:tblBorders>
    </w:tblPr>
    <w:tblStylePr w:type="firstRow">
      <w:rPr>
        <w:sz w:val="24"/>
        <w:szCs w:val="24"/>
      </w:rPr>
      <w:tblPr/>
      <w:tcPr>
        <w:tcBorders>
          <w:top w:val="nil"/>
          <w:left w:val="nil"/>
          <w:bottom w:val="single" w:sz="24" w:space="0" w:color="514C47" w:themeColor="accent4"/>
          <w:right w:val="nil"/>
          <w:insideH w:val="nil"/>
          <w:insideV w:val="nil"/>
        </w:tcBorders>
        <w:shd w:val="clear" w:color="auto" w:fill="FFFFFF" w:themeFill="background1"/>
      </w:tcPr>
    </w:tblStylePr>
    <w:tblStylePr w:type="lastRow">
      <w:tblPr/>
      <w:tcPr>
        <w:tcBorders>
          <w:top w:val="single" w:sz="8" w:space="0" w:color="514C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4C47" w:themeColor="accent4"/>
          <w:insideH w:val="nil"/>
          <w:insideV w:val="nil"/>
        </w:tcBorders>
        <w:shd w:val="clear" w:color="auto" w:fill="FFFFFF" w:themeFill="background1"/>
      </w:tcPr>
    </w:tblStylePr>
    <w:tblStylePr w:type="lastCol">
      <w:tblPr/>
      <w:tcPr>
        <w:tcBorders>
          <w:top w:val="nil"/>
          <w:left w:val="single" w:sz="8" w:space="0" w:color="514C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2CF" w:themeFill="accent4" w:themeFillTint="3F"/>
      </w:tcPr>
    </w:tblStylePr>
    <w:tblStylePr w:type="band1Horz">
      <w:tblPr/>
      <w:tcPr>
        <w:tcBorders>
          <w:top w:val="nil"/>
          <w:bottom w:val="nil"/>
          <w:insideH w:val="nil"/>
          <w:insideV w:val="nil"/>
        </w:tcBorders>
        <w:shd w:val="clear" w:color="auto" w:fill="D5D2C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C7A03" w:themeColor="accent5"/>
        <w:left w:val="single" w:sz="8" w:space="0" w:color="6C7A03" w:themeColor="accent5"/>
        <w:bottom w:val="single" w:sz="8" w:space="0" w:color="6C7A03" w:themeColor="accent5"/>
        <w:right w:val="single" w:sz="8" w:space="0" w:color="6C7A03" w:themeColor="accent5"/>
      </w:tblBorders>
    </w:tblPr>
    <w:tblStylePr w:type="firstRow">
      <w:rPr>
        <w:sz w:val="24"/>
        <w:szCs w:val="24"/>
      </w:rPr>
      <w:tblPr/>
      <w:tcPr>
        <w:tcBorders>
          <w:top w:val="nil"/>
          <w:left w:val="nil"/>
          <w:bottom w:val="single" w:sz="24" w:space="0" w:color="6C7A03" w:themeColor="accent5"/>
          <w:right w:val="nil"/>
          <w:insideH w:val="nil"/>
          <w:insideV w:val="nil"/>
        </w:tcBorders>
        <w:shd w:val="clear" w:color="auto" w:fill="FFFFFF" w:themeFill="background1"/>
      </w:tcPr>
    </w:tblStylePr>
    <w:tblStylePr w:type="lastRow">
      <w:tblPr/>
      <w:tcPr>
        <w:tcBorders>
          <w:top w:val="single" w:sz="8" w:space="0" w:color="6C7A0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C7A03" w:themeColor="accent5"/>
          <w:insideH w:val="nil"/>
          <w:insideV w:val="nil"/>
        </w:tcBorders>
        <w:shd w:val="clear" w:color="auto" w:fill="FFFFFF" w:themeFill="background1"/>
      </w:tcPr>
    </w:tblStylePr>
    <w:tblStylePr w:type="lastCol">
      <w:tblPr/>
      <w:tcPr>
        <w:tcBorders>
          <w:top w:val="nil"/>
          <w:left w:val="single" w:sz="8" w:space="0" w:color="6C7A0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FCA1" w:themeFill="accent5" w:themeFillTint="3F"/>
      </w:tcPr>
    </w:tblStylePr>
    <w:tblStylePr w:type="band1Horz">
      <w:tblPr/>
      <w:tcPr>
        <w:tcBorders>
          <w:top w:val="nil"/>
          <w:bottom w:val="nil"/>
          <w:insideH w:val="nil"/>
          <w:insideV w:val="nil"/>
        </w:tcBorders>
        <w:shd w:val="clear" w:color="auto" w:fill="F2FCA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28E26" w:themeColor="accent6"/>
        <w:left w:val="single" w:sz="8" w:space="0" w:color="028E26" w:themeColor="accent6"/>
        <w:bottom w:val="single" w:sz="8" w:space="0" w:color="028E26" w:themeColor="accent6"/>
        <w:right w:val="single" w:sz="8" w:space="0" w:color="028E26" w:themeColor="accent6"/>
      </w:tblBorders>
    </w:tblPr>
    <w:tblStylePr w:type="firstRow">
      <w:rPr>
        <w:sz w:val="24"/>
        <w:szCs w:val="24"/>
      </w:rPr>
      <w:tblPr/>
      <w:tcPr>
        <w:tcBorders>
          <w:top w:val="nil"/>
          <w:left w:val="nil"/>
          <w:bottom w:val="single" w:sz="24" w:space="0" w:color="028E26" w:themeColor="accent6"/>
          <w:right w:val="nil"/>
          <w:insideH w:val="nil"/>
          <w:insideV w:val="nil"/>
        </w:tcBorders>
        <w:shd w:val="clear" w:color="auto" w:fill="FFFFFF" w:themeFill="background1"/>
      </w:tcPr>
    </w:tblStylePr>
    <w:tblStylePr w:type="lastRow">
      <w:tblPr/>
      <w:tcPr>
        <w:tcBorders>
          <w:top w:val="single" w:sz="8" w:space="0" w:color="028E2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28E26" w:themeColor="accent6"/>
          <w:insideH w:val="nil"/>
          <w:insideV w:val="nil"/>
        </w:tcBorders>
        <w:shd w:val="clear" w:color="auto" w:fill="FFFFFF" w:themeFill="background1"/>
      </w:tcPr>
    </w:tblStylePr>
    <w:tblStylePr w:type="lastCol">
      <w:tblPr/>
      <w:tcPr>
        <w:tcBorders>
          <w:top w:val="nil"/>
          <w:left w:val="single" w:sz="8" w:space="0" w:color="028E2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5FDBC" w:themeFill="accent6" w:themeFillTint="3F"/>
      </w:tcPr>
    </w:tblStylePr>
    <w:tblStylePr w:type="band1Horz">
      <w:tblPr/>
      <w:tcPr>
        <w:tcBorders>
          <w:top w:val="nil"/>
          <w:bottom w:val="nil"/>
          <w:insideH w:val="nil"/>
          <w:insideV w:val="nil"/>
        </w:tcBorders>
        <w:shd w:val="clear" w:color="auto" w:fill="A5FDB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00CD8D" w:themeColor="accent1" w:themeTint="BF"/>
        <w:left w:val="single" w:sz="8" w:space="0" w:color="00CD8D" w:themeColor="accent1" w:themeTint="BF"/>
        <w:bottom w:val="single" w:sz="8" w:space="0" w:color="00CD8D" w:themeColor="accent1" w:themeTint="BF"/>
        <w:right w:val="single" w:sz="8" w:space="0" w:color="00CD8D" w:themeColor="accent1" w:themeTint="BF"/>
        <w:insideH w:val="single" w:sz="8" w:space="0" w:color="00CD8D" w:themeColor="accent1" w:themeTint="BF"/>
        <w:insideV w:val="single" w:sz="8" w:space="0" w:color="00CD8D" w:themeColor="accent1" w:themeTint="BF"/>
      </w:tblBorders>
    </w:tblPr>
    <w:tcPr>
      <w:shd w:val="clear" w:color="auto" w:fill="9AFFDF" w:themeFill="accent1" w:themeFillTint="3F"/>
    </w:tcPr>
    <w:tblStylePr w:type="firstRow">
      <w:rPr>
        <w:b/>
        <w:bCs/>
      </w:rPr>
    </w:tblStylePr>
    <w:tblStylePr w:type="lastRow">
      <w:rPr>
        <w:b/>
        <w:bCs/>
      </w:rPr>
      <w:tblPr/>
      <w:tcPr>
        <w:tcBorders>
          <w:top w:val="single" w:sz="18" w:space="0" w:color="00CD8D" w:themeColor="accent1" w:themeTint="BF"/>
        </w:tcBorders>
      </w:tcPr>
    </w:tblStylePr>
    <w:tblStylePr w:type="firstCol">
      <w:rPr>
        <w:b/>
        <w:bCs/>
      </w:rPr>
    </w:tblStylePr>
    <w:tblStylePr w:type="lastCol">
      <w:rPr>
        <w:b/>
        <w:bCs/>
      </w:rPr>
    </w:tblStylePr>
    <w:tblStylePr w:type="band1Vert">
      <w:tblPr/>
      <w:tcPr>
        <w:shd w:val="clear" w:color="auto" w:fill="34FFC0" w:themeFill="accent1" w:themeFillTint="7F"/>
      </w:tcPr>
    </w:tblStylePr>
    <w:tblStylePr w:type="band1Horz">
      <w:tblPr/>
      <w:tcPr>
        <w:shd w:val="clear" w:color="auto" w:fill="34FFC0"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9B9288" w:themeColor="accent2" w:themeTint="BF"/>
        <w:left w:val="single" w:sz="8" w:space="0" w:color="9B9288" w:themeColor="accent2" w:themeTint="BF"/>
        <w:bottom w:val="single" w:sz="8" w:space="0" w:color="9B9288" w:themeColor="accent2" w:themeTint="BF"/>
        <w:right w:val="single" w:sz="8" w:space="0" w:color="9B9288" w:themeColor="accent2" w:themeTint="BF"/>
        <w:insideH w:val="single" w:sz="8" w:space="0" w:color="9B9288" w:themeColor="accent2" w:themeTint="BF"/>
        <w:insideV w:val="single" w:sz="8" w:space="0" w:color="9B9288" w:themeColor="accent2" w:themeTint="BF"/>
      </w:tblBorders>
    </w:tblPr>
    <w:tcPr>
      <w:shd w:val="clear" w:color="auto" w:fill="DEDBD7" w:themeFill="accent2" w:themeFillTint="3F"/>
    </w:tcPr>
    <w:tblStylePr w:type="firstRow">
      <w:rPr>
        <w:b/>
        <w:bCs/>
      </w:rPr>
    </w:tblStylePr>
    <w:tblStylePr w:type="lastRow">
      <w:rPr>
        <w:b/>
        <w:bCs/>
      </w:rPr>
      <w:tblPr/>
      <w:tcPr>
        <w:tcBorders>
          <w:top w:val="single" w:sz="18" w:space="0" w:color="9B9288" w:themeColor="accent2" w:themeTint="BF"/>
        </w:tcBorders>
      </w:tcPr>
    </w:tblStylePr>
    <w:tblStylePr w:type="firstCol">
      <w:rPr>
        <w:b/>
        <w:bCs/>
      </w:rPr>
    </w:tblStylePr>
    <w:tblStylePr w:type="lastCol">
      <w:rPr>
        <w:b/>
        <w:bCs/>
      </w:rPr>
    </w:tblStylePr>
    <w:tblStylePr w:type="band1Vert">
      <w:tblPr/>
      <w:tcPr>
        <w:shd w:val="clear" w:color="auto" w:fill="BCB6B0" w:themeFill="accent2" w:themeFillTint="7F"/>
      </w:tcPr>
    </w:tblStylePr>
    <w:tblStylePr w:type="band1Horz">
      <w:tblPr/>
      <w:tcPr>
        <w:shd w:val="clear" w:color="auto" w:fill="BCB6B0"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05AD7D" w:themeColor="accent3" w:themeTint="BF"/>
        <w:left w:val="single" w:sz="8" w:space="0" w:color="05AD7D" w:themeColor="accent3" w:themeTint="BF"/>
        <w:bottom w:val="single" w:sz="8" w:space="0" w:color="05AD7D" w:themeColor="accent3" w:themeTint="BF"/>
        <w:right w:val="single" w:sz="8" w:space="0" w:color="05AD7D" w:themeColor="accent3" w:themeTint="BF"/>
        <w:insideH w:val="single" w:sz="8" w:space="0" w:color="05AD7D" w:themeColor="accent3" w:themeTint="BF"/>
        <w:insideV w:val="single" w:sz="8" w:space="0" w:color="05AD7D" w:themeColor="accent3" w:themeTint="BF"/>
      </w:tblBorders>
    </w:tblPr>
    <w:tcPr>
      <w:shd w:val="clear" w:color="auto" w:fill="94FBDE" w:themeFill="accent3" w:themeFillTint="3F"/>
    </w:tcPr>
    <w:tblStylePr w:type="firstRow">
      <w:rPr>
        <w:b/>
        <w:bCs/>
      </w:rPr>
    </w:tblStylePr>
    <w:tblStylePr w:type="lastRow">
      <w:rPr>
        <w:b/>
        <w:bCs/>
      </w:rPr>
      <w:tblPr/>
      <w:tcPr>
        <w:tcBorders>
          <w:top w:val="single" w:sz="18" w:space="0" w:color="05AD7D" w:themeColor="accent3" w:themeTint="BF"/>
        </w:tcBorders>
      </w:tcPr>
    </w:tblStylePr>
    <w:tblStylePr w:type="firstCol">
      <w:rPr>
        <w:b/>
        <w:bCs/>
      </w:rPr>
    </w:tblStylePr>
    <w:tblStylePr w:type="lastCol">
      <w:rPr>
        <w:b/>
        <w:bCs/>
      </w:rPr>
    </w:tblStylePr>
    <w:tblStylePr w:type="band1Vert">
      <w:tblPr/>
      <w:tcPr>
        <w:shd w:val="clear" w:color="auto" w:fill="29F8BE" w:themeFill="accent3" w:themeFillTint="7F"/>
      </w:tcPr>
    </w:tblStylePr>
    <w:tblStylePr w:type="band1Horz">
      <w:tblPr/>
      <w:tcPr>
        <w:shd w:val="clear" w:color="auto" w:fill="29F8BE"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807871" w:themeColor="accent4" w:themeTint="BF"/>
        <w:left w:val="single" w:sz="8" w:space="0" w:color="807871" w:themeColor="accent4" w:themeTint="BF"/>
        <w:bottom w:val="single" w:sz="8" w:space="0" w:color="807871" w:themeColor="accent4" w:themeTint="BF"/>
        <w:right w:val="single" w:sz="8" w:space="0" w:color="807871" w:themeColor="accent4" w:themeTint="BF"/>
        <w:insideH w:val="single" w:sz="8" w:space="0" w:color="807871" w:themeColor="accent4" w:themeTint="BF"/>
        <w:insideV w:val="single" w:sz="8" w:space="0" w:color="807871" w:themeColor="accent4" w:themeTint="BF"/>
      </w:tblBorders>
    </w:tblPr>
    <w:tcPr>
      <w:shd w:val="clear" w:color="auto" w:fill="D5D2CF" w:themeFill="accent4" w:themeFillTint="3F"/>
    </w:tcPr>
    <w:tblStylePr w:type="firstRow">
      <w:rPr>
        <w:b/>
        <w:bCs/>
      </w:rPr>
    </w:tblStylePr>
    <w:tblStylePr w:type="lastRow">
      <w:rPr>
        <w:b/>
        <w:bCs/>
      </w:rPr>
      <w:tblPr/>
      <w:tcPr>
        <w:tcBorders>
          <w:top w:val="single" w:sz="18" w:space="0" w:color="807871" w:themeColor="accent4" w:themeTint="BF"/>
        </w:tcBorders>
      </w:tcPr>
    </w:tblStylePr>
    <w:tblStylePr w:type="firstCol">
      <w:rPr>
        <w:b/>
        <w:bCs/>
      </w:rPr>
    </w:tblStylePr>
    <w:tblStylePr w:type="lastCol">
      <w:rPr>
        <w:b/>
        <w:bCs/>
      </w:rPr>
    </w:tblStylePr>
    <w:tblStylePr w:type="band1Vert">
      <w:tblPr/>
      <w:tcPr>
        <w:shd w:val="clear" w:color="auto" w:fill="ABA5A0" w:themeFill="accent4" w:themeFillTint="7F"/>
      </w:tcPr>
    </w:tblStylePr>
    <w:tblStylePr w:type="band1Horz">
      <w:tblPr/>
      <w:tcPr>
        <w:shd w:val="clear" w:color="auto" w:fill="ABA5A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BFD705" w:themeColor="accent5" w:themeTint="BF"/>
        <w:left w:val="single" w:sz="8" w:space="0" w:color="BFD705" w:themeColor="accent5" w:themeTint="BF"/>
        <w:bottom w:val="single" w:sz="8" w:space="0" w:color="BFD705" w:themeColor="accent5" w:themeTint="BF"/>
        <w:right w:val="single" w:sz="8" w:space="0" w:color="BFD705" w:themeColor="accent5" w:themeTint="BF"/>
        <w:insideH w:val="single" w:sz="8" w:space="0" w:color="BFD705" w:themeColor="accent5" w:themeTint="BF"/>
        <w:insideV w:val="single" w:sz="8" w:space="0" w:color="BFD705" w:themeColor="accent5" w:themeTint="BF"/>
      </w:tblBorders>
    </w:tblPr>
    <w:tcPr>
      <w:shd w:val="clear" w:color="auto" w:fill="F2FCA1" w:themeFill="accent5" w:themeFillTint="3F"/>
    </w:tcPr>
    <w:tblStylePr w:type="firstRow">
      <w:rPr>
        <w:b/>
        <w:bCs/>
      </w:rPr>
    </w:tblStylePr>
    <w:tblStylePr w:type="lastRow">
      <w:rPr>
        <w:b/>
        <w:bCs/>
      </w:rPr>
      <w:tblPr/>
      <w:tcPr>
        <w:tcBorders>
          <w:top w:val="single" w:sz="18" w:space="0" w:color="BFD705" w:themeColor="accent5" w:themeTint="BF"/>
        </w:tcBorders>
      </w:tcPr>
    </w:tblStylePr>
    <w:tblStylePr w:type="firstCol">
      <w:rPr>
        <w:b/>
        <w:bCs/>
      </w:rPr>
    </w:tblStylePr>
    <w:tblStylePr w:type="lastCol">
      <w:rPr>
        <w:b/>
        <w:bCs/>
      </w:rPr>
    </w:tblStylePr>
    <w:tblStylePr w:type="band1Vert">
      <w:tblPr/>
      <w:tcPr>
        <w:shd w:val="clear" w:color="auto" w:fill="E4FA43" w:themeFill="accent5" w:themeFillTint="7F"/>
      </w:tcPr>
    </w:tblStylePr>
    <w:tblStylePr w:type="band1Horz">
      <w:tblPr/>
      <w:tcPr>
        <w:shd w:val="clear" w:color="auto" w:fill="E4FA43"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03E83D" w:themeColor="accent6" w:themeTint="BF"/>
        <w:left w:val="single" w:sz="8" w:space="0" w:color="03E83D" w:themeColor="accent6" w:themeTint="BF"/>
        <w:bottom w:val="single" w:sz="8" w:space="0" w:color="03E83D" w:themeColor="accent6" w:themeTint="BF"/>
        <w:right w:val="single" w:sz="8" w:space="0" w:color="03E83D" w:themeColor="accent6" w:themeTint="BF"/>
        <w:insideH w:val="single" w:sz="8" w:space="0" w:color="03E83D" w:themeColor="accent6" w:themeTint="BF"/>
        <w:insideV w:val="single" w:sz="8" w:space="0" w:color="03E83D" w:themeColor="accent6" w:themeTint="BF"/>
      </w:tblBorders>
    </w:tblPr>
    <w:tcPr>
      <w:shd w:val="clear" w:color="auto" w:fill="A5FDBC" w:themeFill="accent6" w:themeFillTint="3F"/>
    </w:tcPr>
    <w:tblStylePr w:type="firstRow">
      <w:rPr>
        <w:b/>
        <w:bCs/>
      </w:rPr>
    </w:tblStylePr>
    <w:tblStylePr w:type="lastRow">
      <w:rPr>
        <w:b/>
        <w:bCs/>
      </w:rPr>
      <w:tblPr/>
      <w:tcPr>
        <w:tcBorders>
          <w:top w:val="single" w:sz="18" w:space="0" w:color="03E83D" w:themeColor="accent6" w:themeTint="BF"/>
        </w:tcBorders>
      </w:tcPr>
    </w:tblStylePr>
    <w:tblStylePr w:type="firstCol">
      <w:rPr>
        <w:b/>
        <w:bCs/>
      </w:rPr>
    </w:tblStylePr>
    <w:tblStylePr w:type="lastCol">
      <w:rPr>
        <w:b/>
        <w:bCs/>
      </w:rPr>
    </w:tblStylePr>
    <w:tblStylePr w:type="band1Vert">
      <w:tblPr/>
      <w:tcPr>
        <w:shd w:val="clear" w:color="auto" w:fill="4BFC78" w:themeFill="accent6" w:themeFillTint="7F"/>
      </w:tcPr>
    </w:tblStylePr>
    <w:tblStylePr w:type="band1Horz">
      <w:tblPr/>
      <w:tcPr>
        <w:shd w:val="clear" w:color="auto" w:fill="4BFC78"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848" w:themeColor="accent1"/>
        <w:left w:val="single" w:sz="8" w:space="0" w:color="006848" w:themeColor="accent1"/>
        <w:bottom w:val="single" w:sz="8" w:space="0" w:color="006848" w:themeColor="accent1"/>
        <w:right w:val="single" w:sz="8" w:space="0" w:color="006848" w:themeColor="accent1"/>
        <w:insideH w:val="single" w:sz="8" w:space="0" w:color="006848" w:themeColor="accent1"/>
        <w:insideV w:val="single" w:sz="8" w:space="0" w:color="006848" w:themeColor="accent1"/>
      </w:tblBorders>
    </w:tblPr>
    <w:tcPr>
      <w:shd w:val="clear" w:color="auto" w:fill="9AFFDF" w:themeFill="accent1" w:themeFillTint="3F"/>
    </w:tcPr>
    <w:tblStylePr w:type="firstRow">
      <w:rPr>
        <w:b/>
        <w:bCs/>
        <w:color w:val="000000" w:themeColor="text1"/>
      </w:rPr>
      <w:tblPr/>
      <w:tcPr>
        <w:shd w:val="clear" w:color="auto" w:fill="D7FFF2"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FE5" w:themeFill="accent1" w:themeFillTint="33"/>
      </w:tcPr>
    </w:tblStylePr>
    <w:tblStylePr w:type="band1Vert">
      <w:tblPr/>
      <w:tcPr>
        <w:shd w:val="clear" w:color="auto" w:fill="34FFC0" w:themeFill="accent1" w:themeFillTint="7F"/>
      </w:tcPr>
    </w:tblStylePr>
    <w:tblStylePr w:type="band1Horz">
      <w:tblPr/>
      <w:tcPr>
        <w:tcBorders>
          <w:insideH w:val="single" w:sz="6" w:space="0" w:color="006848" w:themeColor="accent1"/>
          <w:insideV w:val="single" w:sz="6" w:space="0" w:color="006848" w:themeColor="accent1"/>
        </w:tcBorders>
        <w:shd w:val="clear" w:color="auto" w:fill="34FFC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76E64" w:themeColor="accent2"/>
        <w:left w:val="single" w:sz="8" w:space="0" w:color="776E64" w:themeColor="accent2"/>
        <w:bottom w:val="single" w:sz="8" w:space="0" w:color="776E64" w:themeColor="accent2"/>
        <w:right w:val="single" w:sz="8" w:space="0" w:color="776E64" w:themeColor="accent2"/>
        <w:insideH w:val="single" w:sz="8" w:space="0" w:color="776E64" w:themeColor="accent2"/>
        <w:insideV w:val="single" w:sz="8" w:space="0" w:color="776E64" w:themeColor="accent2"/>
      </w:tblBorders>
    </w:tblPr>
    <w:tcPr>
      <w:shd w:val="clear" w:color="auto" w:fill="DEDBD7" w:themeFill="accent2" w:themeFillTint="3F"/>
    </w:tcPr>
    <w:tblStylePr w:type="firstRow">
      <w:rPr>
        <w:b/>
        <w:bCs/>
        <w:color w:val="000000" w:themeColor="text1"/>
      </w:rPr>
      <w:tblPr/>
      <w:tcPr>
        <w:shd w:val="clear" w:color="auto" w:fill="F2F0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1DF" w:themeFill="accent2" w:themeFillTint="33"/>
      </w:tcPr>
    </w:tblStylePr>
    <w:tblStylePr w:type="band1Vert">
      <w:tblPr/>
      <w:tcPr>
        <w:shd w:val="clear" w:color="auto" w:fill="BCB6B0" w:themeFill="accent2" w:themeFillTint="7F"/>
      </w:tcPr>
    </w:tblStylePr>
    <w:tblStylePr w:type="band1Horz">
      <w:tblPr/>
      <w:tcPr>
        <w:tcBorders>
          <w:insideH w:val="single" w:sz="6" w:space="0" w:color="776E64" w:themeColor="accent2"/>
          <w:insideV w:val="single" w:sz="6" w:space="0" w:color="776E64" w:themeColor="accent2"/>
        </w:tcBorders>
        <w:shd w:val="clear" w:color="auto" w:fill="BCB6B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24230" w:themeColor="accent3"/>
        <w:left w:val="single" w:sz="8" w:space="0" w:color="024230" w:themeColor="accent3"/>
        <w:bottom w:val="single" w:sz="8" w:space="0" w:color="024230" w:themeColor="accent3"/>
        <w:right w:val="single" w:sz="8" w:space="0" w:color="024230" w:themeColor="accent3"/>
        <w:insideH w:val="single" w:sz="8" w:space="0" w:color="024230" w:themeColor="accent3"/>
        <w:insideV w:val="single" w:sz="8" w:space="0" w:color="024230" w:themeColor="accent3"/>
      </w:tblBorders>
    </w:tblPr>
    <w:tcPr>
      <w:shd w:val="clear" w:color="auto" w:fill="94FBDE" w:themeFill="accent3" w:themeFillTint="3F"/>
    </w:tcPr>
    <w:tblStylePr w:type="firstRow">
      <w:rPr>
        <w:b/>
        <w:bCs/>
        <w:color w:val="000000" w:themeColor="text1"/>
      </w:rPr>
      <w:tblPr/>
      <w:tcPr>
        <w:shd w:val="clear" w:color="auto" w:fill="D4FD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8FCE4" w:themeFill="accent3" w:themeFillTint="33"/>
      </w:tcPr>
    </w:tblStylePr>
    <w:tblStylePr w:type="band1Vert">
      <w:tblPr/>
      <w:tcPr>
        <w:shd w:val="clear" w:color="auto" w:fill="29F8BE" w:themeFill="accent3" w:themeFillTint="7F"/>
      </w:tcPr>
    </w:tblStylePr>
    <w:tblStylePr w:type="band1Horz">
      <w:tblPr/>
      <w:tcPr>
        <w:tcBorders>
          <w:insideH w:val="single" w:sz="6" w:space="0" w:color="024230" w:themeColor="accent3"/>
          <w:insideV w:val="single" w:sz="6" w:space="0" w:color="024230" w:themeColor="accent3"/>
        </w:tcBorders>
        <w:shd w:val="clear" w:color="auto" w:fill="29F8B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14C47" w:themeColor="accent4"/>
        <w:left w:val="single" w:sz="8" w:space="0" w:color="514C47" w:themeColor="accent4"/>
        <w:bottom w:val="single" w:sz="8" w:space="0" w:color="514C47" w:themeColor="accent4"/>
        <w:right w:val="single" w:sz="8" w:space="0" w:color="514C47" w:themeColor="accent4"/>
        <w:insideH w:val="single" w:sz="8" w:space="0" w:color="514C47" w:themeColor="accent4"/>
        <w:insideV w:val="single" w:sz="8" w:space="0" w:color="514C47" w:themeColor="accent4"/>
      </w:tblBorders>
    </w:tblPr>
    <w:tcPr>
      <w:shd w:val="clear" w:color="auto" w:fill="D5D2CF" w:themeFill="accent4" w:themeFillTint="3F"/>
    </w:tcPr>
    <w:tblStylePr w:type="firstRow">
      <w:rPr>
        <w:b/>
        <w:bCs/>
        <w:color w:val="000000" w:themeColor="text1"/>
      </w:rPr>
      <w:tblPr/>
      <w:tcPr>
        <w:shd w:val="clear" w:color="auto" w:fill="EEEDE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DBD8" w:themeFill="accent4" w:themeFillTint="33"/>
      </w:tcPr>
    </w:tblStylePr>
    <w:tblStylePr w:type="band1Vert">
      <w:tblPr/>
      <w:tcPr>
        <w:shd w:val="clear" w:color="auto" w:fill="ABA5A0" w:themeFill="accent4" w:themeFillTint="7F"/>
      </w:tcPr>
    </w:tblStylePr>
    <w:tblStylePr w:type="band1Horz">
      <w:tblPr/>
      <w:tcPr>
        <w:tcBorders>
          <w:insideH w:val="single" w:sz="6" w:space="0" w:color="514C47" w:themeColor="accent4"/>
          <w:insideV w:val="single" w:sz="6" w:space="0" w:color="514C47" w:themeColor="accent4"/>
        </w:tcBorders>
        <w:shd w:val="clear" w:color="auto" w:fill="ABA5A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C7A03" w:themeColor="accent5"/>
        <w:left w:val="single" w:sz="8" w:space="0" w:color="6C7A03" w:themeColor="accent5"/>
        <w:bottom w:val="single" w:sz="8" w:space="0" w:color="6C7A03" w:themeColor="accent5"/>
        <w:right w:val="single" w:sz="8" w:space="0" w:color="6C7A03" w:themeColor="accent5"/>
        <w:insideH w:val="single" w:sz="8" w:space="0" w:color="6C7A03" w:themeColor="accent5"/>
        <w:insideV w:val="single" w:sz="8" w:space="0" w:color="6C7A03" w:themeColor="accent5"/>
      </w:tblBorders>
    </w:tblPr>
    <w:tcPr>
      <w:shd w:val="clear" w:color="auto" w:fill="F2FCA1" w:themeFill="accent5" w:themeFillTint="3F"/>
    </w:tcPr>
    <w:tblStylePr w:type="firstRow">
      <w:rPr>
        <w:b/>
        <w:bCs/>
        <w:color w:val="000000" w:themeColor="text1"/>
      </w:rPr>
      <w:tblPr/>
      <w:tcPr>
        <w:shd w:val="clear" w:color="auto" w:fill="F9FED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DB3" w:themeFill="accent5" w:themeFillTint="33"/>
      </w:tcPr>
    </w:tblStylePr>
    <w:tblStylePr w:type="band1Vert">
      <w:tblPr/>
      <w:tcPr>
        <w:shd w:val="clear" w:color="auto" w:fill="E4FA43" w:themeFill="accent5" w:themeFillTint="7F"/>
      </w:tcPr>
    </w:tblStylePr>
    <w:tblStylePr w:type="band1Horz">
      <w:tblPr/>
      <w:tcPr>
        <w:tcBorders>
          <w:insideH w:val="single" w:sz="6" w:space="0" w:color="6C7A03" w:themeColor="accent5"/>
          <w:insideV w:val="single" w:sz="6" w:space="0" w:color="6C7A03" w:themeColor="accent5"/>
        </w:tcBorders>
        <w:shd w:val="clear" w:color="auto" w:fill="E4FA4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28E26" w:themeColor="accent6"/>
        <w:left w:val="single" w:sz="8" w:space="0" w:color="028E26" w:themeColor="accent6"/>
        <w:bottom w:val="single" w:sz="8" w:space="0" w:color="028E26" w:themeColor="accent6"/>
        <w:right w:val="single" w:sz="8" w:space="0" w:color="028E26" w:themeColor="accent6"/>
        <w:insideH w:val="single" w:sz="8" w:space="0" w:color="028E26" w:themeColor="accent6"/>
        <w:insideV w:val="single" w:sz="8" w:space="0" w:color="028E26" w:themeColor="accent6"/>
      </w:tblBorders>
    </w:tblPr>
    <w:tcPr>
      <w:shd w:val="clear" w:color="auto" w:fill="A5FDBC" w:themeFill="accent6" w:themeFillTint="3F"/>
    </w:tcPr>
    <w:tblStylePr w:type="firstRow">
      <w:rPr>
        <w:b/>
        <w:bCs/>
        <w:color w:val="000000" w:themeColor="text1"/>
      </w:rPr>
      <w:tblPr/>
      <w:tcPr>
        <w:shd w:val="clear" w:color="auto" w:fill="DBFEE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6FEC8" w:themeFill="accent6" w:themeFillTint="33"/>
      </w:tcPr>
    </w:tblStylePr>
    <w:tblStylePr w:type="band1Vert">
      <w:tblPr/>
      <w:tcPr>
        <w:shd w:val="clear" w:color="auto" w:fill="4BFC78" w:themeFill="accent6" w:themeFillTint="7F"/>
      </w:tcPr>
    </w:tblStylePr>
    <w:tblStylePr w:type="band1Horz">
      <w:tblPr/>
      <w:tcPr>
        <w:tcBorders>
          <w:insideH w:val="single" w:sz="6" w:space="0" w:color="028E26" w:themeColor="accent6"/>
          <w:insideV w:val="single" w:sz="6" w:space="0" w:color="028E26" w:themeColor="accent6"/>
        </w:tcBorders>
        <w:shd w:val="clear" w:color="auto" w:fill="4BFC78"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FD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84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84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84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84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4FFC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4FFC0"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DB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76E6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76E6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76E6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76E6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B6B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B6B0"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4FBD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2423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2423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2423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2423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9F8B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9F8BE"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2C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14C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14C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14C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14C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A5A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A5A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FCA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C7A0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C7A0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C7A0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C7A0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4FA4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4FA43"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5FDB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28E2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28E2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28E2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28E2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BFC7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BFC78"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00684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32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D3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D35" w:themeFill="accent1" w:themeFillShade="BF"/>
      </w:tcPr>
    </w:tblStylePr>
    <w:tblStylePr w:type="band1Vert">
      <w:tblPr/>
      <w:tcPr>
        <w:tcBorders>
          <w:top w:val="nil"/>
          <w:left w:val="nil"/>
          <w:bottom w:val="nil"/>
          <w:right w:val="nil"/>
          <w:insideH w:val="nil"/>
          <w:insideV w:val="nil"/>
        </w:tcBorders>
        <w:shd w:val="clear" w:color="auto" w:fill="004D35" w:themeFill="accent1" w:themeFillShade="BF"/>
      </w:tcPr>
    </w:tblStylePr>
    <w:tblStylePr w:type="band1Horz">
      <w:tblPr/>
      <w:tcPr>
        <w:tcBorders>
          <w:top w:val="nil"/>
          <w:left w:val="nil"/>
          <w:bottom w:val="nil"/>
          <w:right w:val="nil"/>
          <w:insideH w:val="nil"/>
          <w:insideV w:val="nil"/>
        </w:tcBorders>
        <w:shd w:val="clear" w:color="auto" w:fill="004D35"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776E6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363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9524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9524B" w:themeFill="accent2" w:themeFillShade="BF"/>
      </w:tcPr>
    </w:tblStylePr>
    <w:tblStylePr w:type="band1Vert">
      <w:tblPr/>
      <w:tcPr>
        <w:tcBorders>
          <w:top w:val="nil"/>
          <w:left w:val="nil"/>
          <w:bottom w:val="nil"/>
          <w:right w:val="nil"/>
          <w:insideH w:val="nil"/>
          <w:insideV w:val="nil"/>
        </w:tcBorders>
        <w:shd w:val="clear" w:color="auto" w:fill="59524B" w:themeFill="accent2" w:themeFillShade="BF"/>
      </w:tcPr>
    </w:tblStylePr>
    <w:tblStylePr w:type="band1Horz">
      <w:tblPr/>
      <w:tcPr>
        <w:tcBorders>
          <w:top w:val="nil"/>
          <w:left w:val="nil"/>
          <w:bottom w:val="nil"/>
          <w:right w:val="nil"/>
          <w:insideH w:val="nil"/>
          <w:insideV w:val="nil"/>
        </w:tcBorders>
        <w:shd w:val="clear" w:color="auto" w:fill="59524B"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02423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2017"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1312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13123" w:themeFill="accent3" w:themeFillShade="BF"/>
      </w:tcPr>
    </w:tblStylePr>
    <w:tblStylePr w:type="band1Vert">
      <w:tblPr/>
      <w:tcPr>
        <w:tcBorders>
          <w:top w:val="nil"/>
          <w:left w:val="nil"/>
          <w:bottom w:val="nil"/>
          <w:right w:val="nil"/>
          <w:insideH w:val="nil"/>
          <w:insideV w:val="nil"/>
        </w:tcBorders>
        <w:shd w:val="clear" w:color="auto" w:fill="013123" w:themeFill="accent3" w:themeFillShade="BF"/>
      </w:tcPr>
    </w:tblStylePr>
    <w:tblStylePr w:type="band1Horz">
      <w:tblPr/>
      <w:tcPr>
        <w:tcBorders>
          <w:top w:val="nil"/>
          <w:left w:val="nil"/>
          <w:bottom w:val="nil"/>
          <w:right w:val="nil"/>
          <w:insideH w:val="nil"/>
          <w:insideV w:val="nil"/>
        </w:tcBorders>
        <w:shd w:val="clear" w:color="auto" w:fill="013123"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514C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825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C383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C3835" w:themeFill="accent4" w:themeFillShade="BF"/>
      </w:tcPr>
    </w:tblStylePr>
    <w:tblStylePr w:type="band1Vert">
      <w:tblPr/>
      <w:tcPr>
        <w:tcBorders>
          <w:top w:val="nil"/>
          <w:left w:val="nil"/>
          <w:bottom w:val="nil"/>
          <w:right w:val="nil"/>
          <w:insideH w:val="nil"/>
          <w:insideV w:val="nil"/>
        </w:tcBorders>
        <w:shd w:val="clear" w:color="auto" w:fill="3C3835" w:themeFill="accent4" w:themeFillShade="BF"/>
      </w:tcPr>
    </w:tblStylePr>
    <w:tblStylePr w:type="band1Horz">
      <w:tblPr/>
      <w:tcPr>
        <w:tcBorders>
          <w:top w:val="nil"/>
          <w:left w:val="nil"/>
          <w:bottom w:val="nil"/>
          <w:right w:val="nil"/>
          <w:insideH w:val="nil"/>
          <w:insideV w:val="nil"/>
        </w:tcBorders>
        <w:shd w:val="clear" w:color="auto" w:fill="3C3835"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6C7A0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53C0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05B0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05B02" w:themeFill="accent5" w:themeFillShade="BF"/>
      </w:tcPr>
    </w:tblStylePr>
    <w:tblStylePr w:type="band1Vert">
      <w:tblPr/>
      <w:tcPr>
        <w:tcBorders>
          <w:top w:val="nil"/>
          <w:left w:val="nil"/>
          <w:bottom w:val="nil"/>
          <w:right w:val="nil"/>
          <w:insideH w:val="nil"/>
          <w:insideV w:val="nil"/>
        </w:tcBorders>
        <w:shd w:val="clear" w:color="auto" w:fill="505B02" w:themeFill="accent5" w:themeFillShade="BF"/>
      </w:tcPr>
    </w:tblStylePr>
    <w:tblStylePr w:type="band1Horz">
      <w:tblPr/>
      <w:tcPr>
        <w:tcBorders>
          <w:top w:val="nil"/>
          <w:left w:val="nil"/>
          <w:bottom w:val="nil"/>
          <w:right w:val="nil"/>
          <w:insideH w:val="nil"/>
          <w:insideV w:val="nil"/>
        </w:tcBorders>
        <w:shd w:val="clear" w:color="auto" w:fill="505B02"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028E2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461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16A1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16A1C" w:themeFill="accent6" w:themeFillShade="BF"/>
      </w:tcPr>
    </w:tblStylePr>
    <w:tblStylePr w:type="band1Vert">
      <w:tblPr/>
      <w:tcPr>
        <w:tcBorders>
          <w:top w:val="nil"/>
          <w:left w:val="nil"/>
          <w:bottom w:val="nil"/>
          <w:right w:val="nil"/>
          <w:insideH w:val="nil"/>
          <w:insideV w:val="nil"/>
        </w:tcBorders>
        <w:shd w:val="clear" w:color="auto" w:fill="016A1C" w:themeFill="accent6" w:themeFillShade="BF"/>
      </w:tcPr>
    </w:tblStylePr>
    <w:tblStylePr w:type="band1Horz">
      <w:tblPr/>
      <w:tcPr>
        <w:tcBorders>
          <w:top w:val="nil"/>
          <w:left w:val="nil"/>
          <w:bottom w:val="nil"/>
          <w:right w:val="nil"/>
          <w:insideH w:val="nil"/>
          <w:insideV w:val="nil"/>
        </w:tcBorders>
        <w:shd w:val="clear" w:color="auto" w:fill="016A1C"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776E64"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776E6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776E64" w:themeColor="accent2"/>
        <w:left w:val="single" w:sz="4" w:space="0" w:color="006848" w:themeColor="accent1"/>
        <w:bottom w:val="single" w:sz="4" w:space="0" w:color="006848" w:themeColor="accent1"/>
        <w:right w:val="single" w:sz="4" w:space="0" w:color="006848" w:themeColor="accent1"/>
        <w:insideH w:val="single" w:sz="4" w:space="0" w:color="FFFFFF" w:themeColor="background1"/>
        <w:insideV w:val="single" w:sz="4" w:space="0" w:color="FFFFFF" w:themeColor="background1"/>
      </w:tblBorders>
    </w:tblPr>
    <w:tcPr>
      <w:shd w:val="clear" w:color="auto" w:fill="D7FFF2" w:themeFill="accent1" w:themeFillTint="19"/>
    </w:tcPr>
    <w:tblStylePr w:type="firstRow">
      <w:rPr>
        <w:b/>
        <w:bCs/>
      </w:rPr>
      <w:tblPr/>
      <w:tcPr>
        <w:tcBorders>
          <w:top w:val="nil"/>
          <w:left w:val="nil"/>
          <w:bottom w:val="single" w:sz="24" w:space="0" w:color="776E6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E2B" w:themeFill="accent1" w:themeFillShade="99"/>
      </w:tcPr>
    </w:tblStylePr>
    <w:tblStylePr w:type="firstCol">
      <w:rPr>
        <w:color w:val="FFFFFF" w:themeColor="background1"/>
      </w:rPr>
      <w:tblPr/>
      <w:tcPr>
        <w:tcBorders>
          <w:top w:val="nil"/>
          <w:left w:val="nil"/>
          <w:bottom w:val="nil"/>
          <w:right w:val="nil"/>
          <w:insideH w:val="single" w:sz="4" w:space="0" w:color="003E2B" w:themeColor="accent1" w:themeShade="99"/>
          <w:insideV w:val="nil"/>
        </w:tcBorders>
        <w:shd w:val="clear" w:color="auto" w:fill="003E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E2B" w:themeFill="accent1" w:themeFillShade="99"/>
      </w:tcPr>
    </w:tblStylePr>
    <w:tblStylePr w:type="band1Vert">
      <w:tblPr/>
      <w:tcPr>
        <w:shd w:val="clear" w:color="auto" w:fill="5CFFCC" w:themeFill="accent1" w:themeFillTint="66"/>
      </w:tcPr>
    </w:tblStylePr>
    <w:tblStylePr w:type="band1Horz">
      <w:tblPr/>
      <w:tcPr>
        <w:shd w:val="clear" w:color="auto" w:fill="34FFC0"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776E64" w:themeColor="accent2"/>
        <w:left w:val="single" w:sz="4" w:space="0" w:color="776E64" w:themeColor="accent2"/>
        <w:bottom w:val="single" w:sz="4" w:space="0" w:color="776E64" w:themeColor="accent2"/>
        <w:right w:val="single" w:sz="4" w:space="0" w:color="776E64" w:themeColor="accent2"/>
        <w:insideH w:val="single" w:sz="4" w:space="0" w:color="FFFFFF" w:themeColor="background1"/>
        <w:insideV w:val="single" w:sz="4" w:space="0" w:color="FFFFFF" w:themeColor="background1"/>
      </w:tblBorders>
    </w:tblPr>
    <w:tcPr>
      <w:shd w:val="clear" w:color="auto" w:fill="F2F0EF" w:themeFill="accent2" w:themeFillTint="19"/>
    </w:tcPr>
    <w:tblStylePr w:type="firstRow">
      <w:rPr>
        <w:b/>
        <w:bCs/>
      </w:rPr>
      <w:tblPr/>
      <w:tcPr>
        <w:tcBorders>
          <w:top w:val="nil"/>
          <w:left w:val="nil"/>
          <w:bottom w:val="single" w:sz="24" w:space="0" w:color="776E6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413C" w:themeFill="accent2" w:themeFillShade="99"/>
      </w:tcPr>
    </w:tblStylePr>
    <w:tblStylePr w:type="firstCol">
      <w:rPr>
        <w:color w:val="FFFFFF" w:themeColor="background1"/>
      </w:rPr>
      <w:tblPr/>
      <w:tcPr>
        <w:tcBorders>
          <w:top w:val="nil"/>
          <w:left w:val="nil"/>
          <w:bottom w:val="nil"/>
          <w:right w:val="nil"/>
          <w:insideH w:val="single" w:sz="4" w:space="0" w:color="47413C" w:themeColor="accent2" w:themeShade="99"/>
          <w:insideV w:val="nil"/>
        </w:tcBorders>
        <w:shd w:val="clear" w:color="auto" w:fill="47413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7413C" w:themeFill="accent2" w:themeFillShade="99"/>
      </w:tcPr>
    </w:tblStylePr>
    <w:tblStylePr w:type="band1Vert">
      <w:tblPr/>
      <w:tcPr>
        <w:shd w:val="clear" w:color="auto" w:fill="C9C4BF" w:themeFill="accent2" w:themeFillTint="66"/>
      </w:tcPr>
    </w:tblStylePr>
    <w:tblStylePr w:type="band1Horz">
      <w:tblPr/>
      <w:tcPr>
        <w:shd w:val="clear" w:color="auto" w:fill="BCB6B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514C47" w:themeColor="accent4"/>
        <w:left w:val="single" w:sz="4" w:space="0" w:color="024230" w:themeColor="accent3"/>
        <w:bottom w:val="single" w:sz="4" w:space="0" w:color="024230" w:themeColor="accent3"/>
        <w:right w:val="single" w:sz="4" w:space="0" w:color="024230" w:themeColor="accent3"/>
        <w:insideH w:val="single" w:sz="4" w:space="0" w:color="FFFFFF" w:themeColor="background1"/>
        <w:insideV w:val="single" w:sz="4" w:space="0" w:color="FFFFFF" w:themeColor="background1"/>
      </w:tblBorders>
    </w:tblPr>
    <w:tcPr>
      <w:shd w:val="clear" w:color="auto" w:fill="D4FDF2" w:themeFill="accent3" w:themeFillTint="19"/>
    </w:tcPr>
    <w:tblStylePr w:type="firstRow">
      <w:rPr>
        <w:b/>
        <w:bCs/>
      </w:rPr>
      <w:tblPr/>
      <w:tcPr>
        <w:tcBorders>
          <w:top w:val="nil"/>
          <w:left w:val="nil"/>
          <w:bottom w:val="single" w:sz="24" w:space="0" w:color="514C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271C" w:themeFill="accent3" w:themeFillShade="99"/>
      </w:tcPr>
    </w:tblStylePr>
    <w:tblStylePr w:type="firstCol">
      <w:rPr>
        <w:color w:val="FFFFFF" w:themeColor="background1"/>
      </w:rPr>
      <w:tblPr/>
      <w:tcPr>
        <w:tcBorders>
          <w:top w:val="nil"/>
          <w:left w:val="nil"/>
          <w:bottom w:val="nil"/>
          <w:right w:val="nil"/>
          <w:insideH w:val="single" w:sz="4" w:space="0" w:color="01271C" w:themeColor="accent3" w:themeShade="99"/>
          <w:insideV w:val="nil"/>
        </w:tcBorders>
        <w:shd w:val="clear" w:color="auto" w:fill="01271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1271C" w:themeFill="accent3" w:themeFillShade="99"/>
      </w:tcPr>
    </w:tblStylePr>
    <w:tblStylePr w:type="band1Vert">
      <w:tblPr/>
      <w:tcPr>
        <w:shd w:val="clear" w:color="auto" w:fill="53F9CA" w:themeFill="accent3" w:themeFillTint="66"/>
      </w:tcPr>
    </w:tblStylePr>
    <w:tblStylePr w:type="band1Horz">
      <w:tblPr/>
      <w:tcPr>
        <w:shd w:val="clear" w:color="auto" w:fill="29F8BE"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024230" w:themeColor="accent3"/>
        <w:left w:val="single" w:sz="4" w:space="0" w:color="514C47" w:themeColor="accent4"/>
        <w:bottom w:val="single" w:sz="4" w:space="0" w:color="514C47" w:themeColor="accent4"/>
        <w:right w:val="single" w:sz="4" w:space="0" w:color="514C47" w:themeColor="accent4"/>
        <w:insideH w:val="single" w:sz="4" w:space="0" w:color="FFFFFF" w:themeColor="background1"/>
        <w:insideV w:val="single" w:sz="4" w:space="0" w:color="FFFFFF" w:themeColor="background1"/>
      </w:tblBorders>
    </w:tblPr>
    <w:tcPr>
      <w:shd w:val="clear" w:color="auto" w:fill="EEEDEC" w:themeFill="accent4" w:themeFillTint="19"/>
    </w:tcPr>
    <w:tblStylePr w:type="firstRow">
      <w:rPr>
        <w:b/>
        <w:bCs/>
      </w:rPr>
      <w:tblPr/>
      <w:tcPr>
        <w:tcBorders>
          <w:top w:val="nil"/>
          <w:left w:val="nil"/>
          <w:bottom w:val="single" w:sz="24" w:space="0" w:color="02423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2D2A" w:themeFill="accent4" w:themeFillShade="99"/>
      </w:tcPr>
    </w:tblStylePr>
    <w:tblStylePr w:type="firstCol">
      <w:rPr>
        <w:color w:val="FFFFFF" w:themeColor="background1"/>
      </w:rPr>
      <w:tblPr/>
      <w:tcPr>
        <w:tcBorders>
          <w:top w:val="nil"/>
          <w:left w:val="nil"/>
          <w:bottom w:val="nil"/>
          <w:right w:val="nil"/>
          <w:insideH w:val="single" w:sz="4" w:space="0" w:color="302D2A" w:themeColor="accent4" w:themeShade="99"/>
          <w:insideV w:val="nil"/>
        </w:tcBorders>
        <w:shd w:val="clear" w:color="auto" w:fill="302D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02D2A" w:themeFill="accent4" w:themeFillShade="99"/>
      </w:tcPr>
    </w:tblStylePr>
    <w:tblStylePr w:type="band1Vert">
      <w:tblPr/>
      <w:tcPr>
        <w:shd w:val="clear" w:color="auto" w:fill="BCB7B2" w:themeFill="accent4" w:themeFillTint="66"/>
      </w:tcPr>
    </w:tblStylePr>
    <w:tblStylePr w:type="band1Horz">
      <w:tblPr/>
      <w:tcPr>
        <w:shd w:val="clear" w:color="auto" w:fill="ABA5A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028E26" w:themeColor="accent6"/>
        <w:left w:val="single" w:sz="4" w:space="0" w:color="6C7A03" w:themeColor="accent5"/>
        <w:bottom w:val="single" w:sz="4" w:space="0" w:color="6C7A03" w:themeColor="accent5"/>
        <w:right w:val="single" w:sz="4" w:space="0" w:color="6C7A03" w:themeColor="accent5"/>
        <w:insideH w:val="single" w:sz="4" w:space="0" w:color="FFFFFF" w:themeColor="background1"/>
        <w:insideV w:val="single" w:sz="4" w:space="0" w:color="FFFFFF" w:themeColor="background1"/>
      </w:tblBorders>
    </w:tblPr>
    <w:tcPr>
      <w:shd w:val="clear" w:color="auto" w:fill="F9FED9" w:themeFill="accent5" w:themeFillTint="19"/>
    </w:tcPr>
    <w:tblStylePr w:type="firstRow">
      <w:rPr>
        <w:b/>
        <w:bCs/>
      </w:rPr>
      <w:tblPr/>
      <w:tcPr>
        <w:tcBorders>
          <w:top w:val="nil"/>
          <w:left w:val="nil"/>
          <w:bottom w:val="single" w:sz="24" w:space="0" w:color="028E2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04901" w:themeFill="accent5" w:themeFillShade="99"/>
      </w:tcPr>
    </w:tblStylePr>
    <w:tblStylePr w:type="firstCol">
      <w:rPr>
        <w:color w:val="FFFFFF" w:themeColor="background1"/>
      </w:rPr>
      <w:tblPr/>
      <w:tcPr>
        <w:tcBorders>
          <w:top w:val="nil"/>
          <w:left w:val="nil"/>
          <w:bottom w:val="nil"/>
          <w:right w:val="nil"/>
          <w:insideH w:val="single" w:sz="4" w:space="0" w:color="404901" w:themeColor="accent5" w:themeShade="99"/>
          <w:insideV w:val="nil"/>
        </w:tcBorders>
        <w:shd w:val="clear" w:color="auto" w:fill="40490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04901" w:themeFill="accent5" w:themeFillShade="99"/>
      </w:tcPr>
    </w:tblStylePr>
    <w:tblStylePr w:type="band1Vert">
      <w:tblPr/>
      <w:tcPr>
        <w:shd w:val="clear" w:color="auto" w:fill="EAFB68" w:themeFill="accent5" w:themeFillTint="66"/>
      </w:tcPr>
    </w:tblStylePr>
    <w:tblStylePr w:type="band1Horz">
      <w:tblPr/>
      <w:tcPr>
        <w:shd w:val="clear" w:color="auto" w:fill="E4FA4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6C7A03" w:themeColor="accent5"/>
        <w:left w:val="single" w:sz="4" w:space="0" w:color="028E26" w:themeColor="accent6"/>
        <w:bottom w:val="single" w:sz="4" w:space="0" w:color="028E26" w:themeColor="accent6"/>
        <w:right w:val="single" w:sz="4" w:space="0" w:color="028E26" w:themeColor="accent6"/>
        <w:insideH w:val="single" w:sz="4" w:space="0" w:color="FFFFFF" w:themeColor="background1"/>
        <w:insideV w:val="single" w:sz="4" w:space="0" w:color="FFFFFF" w:themeColor="background1"/>
      </w:tblBorders>
    </w:tblPr>
    <w:tcPr>
      <w:shd w:val="clear" w:color="auto" w:fill="DBFEE4" w:themeFill="accent6" w:themeFillTint="19"/>
    </w:tcPr>
    <w:tblStylePr w:type="firstRow">
      <w:rPr>
        <w:b/>
        <w:bCs/>
      </w:rPr>
      <w:tblPr/>
      <w:tcPr>
        <w:tcBorders>
          <w:top w:val="nil"/>
          <w:left w:val="nil"/>
          <w:bottom w:val="single" w:sz="24" w:space="0" w:color="6C7A0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5516" w:themeFill="accent6" w:themeFillShade="99"/>
      </w:tcPr>
    </w:tblStylePr>
    <w:tblStylePr w:type="firstCol">
      <w:rPr>
        <w:color w:val="FFFFFF" w:themeColor="background1"/>
      </w:rPr>
      <w:tblPr/>
      <w:tcPr>
        <w:tcBorders>
          <w:top w:val="nil"/>
          <w:left w:val="nil"/>
          <w:bottom w:val="nil"/>
          <w:right w:val="nil"/>
          <w:insideH w:val="single" w:sz="4" w:space="0" w:color="015516" w:themeColor="accent6" w:themeShade="99"/>
          <w:insideV w:val="nil"/>
        </w:tcBorders>
        <w:shd w:val="clear" w:color="auto" w:fill="01551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15516" w:themeFill="accent6" w:themeFillShade="99"/>
      </w:tcPr>
    </w:tblStylePr>
    <w:tblStylePr w:type="band1Vert">
      <w:tblPr/>
      <w:tcPr>
        <w:shd w:val="clear" w:color="auto" w:fill="6EFD92" w:themeFill="accent6" w:themeFillTint="66"/>
      </w:tcPr>
    </w:tblStylePr>
    <w:tblStylePr w:type="band1Horz">
      <w:tblPr/>
      <w:tcPr>
        <w:shd w:val="clear" w:color="auto" w:fill="4BFC78"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F5750" w:themeFill="accent2" w:themeFillShade="CC"/>
      </w:tcPr>
    </w:tblStylePr>
    <w:tblStylePr w:type="lastRow">
      <w:rPr>
        <w:b/>
        <w:bCs/>
        <w:color w:val="5F575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D7FFF2" w:themeFill="accent1" w:themeFillTint="19"/>
    </w:tcPr>
    <w:tblStylePr w:type="firstRow">
      <w:rPr>
        <w:b/>
        <w:bCs/>
        <w:color w:val="FFFFFF" w:themeColor="background1"/>
      </w:rPr>
      <w:tblPr/>
      <w:tcPr>
        <w:tcBorders>
          <w:bottom w:val="single" w:sz="12" w:space="0" w:color="FFFFFF" w:themeColor="background1"/>
        </w:tcBorders>
        <w:shd w:val="clear" w:color="auto" w:fill="5F5750" w:themeFill="accent2" w:themeFillShade="CC"/>
      </w:tcPr>
    </w:tblStylePr>
    <w:tblStylePr w:type="lastRow">
      <w:rPr>
        <w:b/>
        <w:bCs/>
        <w:color w:val="5F575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FDF" w:themeFill="accent1" w:themeFillTint="3F"/>
      </w:tcPr>
    </w:tblStylePr>
    <w:tblStylePr w:type="band1Horz">
      <w:tblPr/>
      <w:tcPr>
        <w:shd w:val="clear" w:color="auto" w:fill="ADFFE5"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2F0EF" w:themeFill="accent2" w:themeFillTint="19"/>
    </w:tcPr>
    <w:tblStylePr w:type="firstRow">
      <w:rPr>
        <w:b/>
        <w:bCs/>
        <w:color w:val="FFFFFF" w:themeColor="background1"/>
      </w:rPr>
      <w:tblPr/>
      <w:tcPr>
        <w:tcBorders>
          <w:bottom w:val="single" w:sz="12" w:space="0" w:color="FFFFFF" w:themeColor="background1"/>
        </w:tcBorders>
        <w:shd w:val="clear" w:color="auto" w:fill="5F5750" w:themeFill="accent2" w:themeFillShade="CC"/>
      </w:tcPr>
    </w:tblStylePr>
    <w:tblStylePr w:type="lastRow">
      <w:rPr>
        <w:b/>
        <w:bCs/>
        <w:color w:val="5F575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DBD7" w:themeFill="accent2" w:themeFillTint="3F"/>
      </w:tcPr>
    </w:tblStylePr>
    <w:tblStylePr w:type="band1Horz">
      <w:tblPr/>
      <w:tcPr>
        <w:shd w:val="clear" w:color="auto" w:fill="E4E1DF"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D4FDF2" w:themeFill="accent3" w:themeFillTint="19"/>
    </w:tcPr>
    <w:tblStylePr w:type="firstRow">
      <w:rPr>
        <w:b/>
        <w:bCs/>
        <w:color w:val="FFFFFF" w:themeColor="background1"/>
      </w:rPr>
      <w:tblPr/>
      <w:tcPr>
        <w:tcBorders>
          <w:bottom w:val="single" w:sz="12" w:space="0" w:color="FFFFFF" w:themeColor="background1"/>
        </w:tcBorders>
        <w:shd w:val="clear" w:color="auto" w:fill="403C38" w:themeFill="accent4" w:themeFillShade="CC"/>
      </w:tcPr>
    </w:tblStylePr>
    <w:tblStylePr w:type="lastRow">
      <w:rPr>
        <w:b/>
        <w:bCs/>
        <w:color w:val="403C3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4FBDE" w:themeFill="accent3" w:themeFillTint="3F"/>
      </w:tcPr>
    </w:tblStylePr>
    <w:tblStylePr w:type="band1Horz">
      <w:tblPr/>
      <w:tcPr>
        <w:shd w:val="clear" w:color="auto" w:fill="A8FCE4"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EEDEC" w:themeFill="accent4" w:themeFillTint="19"/>
    </w:tcPr>
    <w:tblStylePr w:type="firstRow">
      <w:rPr>
        <w:b/>
        <w:bCs/>
        <w:color w:val="FFFFFF" w:themeColor="background1"/>
      </w:rPr>
      <w:tblPr/>
      <w:tcPr>
        <w:tcBorders>
          <w:bottom w:val="single" w:sz="12" w:space="0" w:color="FFFFFF" w:themeColor="background1"/>
        </w:tcBorders>
        <w:shd w:val="clear" w:color="auto" w:fill="013426" w:themeFill="accent3" w:themeFillShade="CC"/>
      </w:tcPr>
    </w:tblStylePr>
    <w:tblStylePr w:type="lastRow">
      <w:rPr>
        <w:b/>
        <w:bCs/>
        <w:color w:val="01342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2CF" w:themeFill="accent4" w:themeFillTint="3F"/>
      </w:tcPr>
    </w:tblStylePr>
    <w:tblStylePr w:type="band1Horz">
      <w:tblPr/>
      <w:tcPr>
        <w:shd w:val="clear" w:color="auto" w:fill="DDDBD8"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9FED9" w:themeFill="accent5" w:themeFillTint="19"/>
    </w:tcPr>
    <w:tblStylePr w:type="firstRow">
      <w:rPr>
        <w:b/>
        <w:bCs/>
        <w:color w:val="FFFFFF" w:themeColor="background1"/>
      </w:rPr>
      <w:tblPr/>
      <w:tcPr>
        <w:tcBorders>
          <w:bottom w:val="single" w:sz="12" w:space="0" w:color="FFFFFF" w:themeColor="background1"/>
        </w:tcBorders>
        <w:shd w:val="clear" w:color="auto" w:fill="01711E" w:themeFill="accent6" w:themeFillShade="CC"/>
      </w:tcPr>
    </w:tblStylePr>
    <w:tblStylePr w:type="lastRow">
      <w:rPr>
        <w:b/>
        <w:bCs/>
        <w:color w:val="01711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CA1" w:themeFill="accent5" w:themeFillTint="3F"/>
      </w:tcPr>
    </w:tblStylePr>
    <w:tblStylePr w:type="band1Horz">
      <w:tblPr/>
      <w:tcPr>
        <w:shd w:val="clear" w:color="auto" w:fill="F4FDB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DBFEE4" w:themeFill="accent6" w:themeFillTint="19"/>
    </w:tcPr>
    <w:tblStylePr w:type="firstRow">
      <w:rPr>
        <w:b/>
        <w:bCs/>
        <w:color w:val="FFFFFF" w:themeColor="background1"/>
      </w:rPr>
      <w:tblPr/>
      <w:tcPr>
        <w:tcBorders>
          <w:bottom w:val="single" w:sz="12" w:space="0" w:color="FFFFFF" w:themeColor="background1"/>
        </w:tcBorders>
        <w:shd w:val="clear" w:color="auto" w:fill="566102" w:themeFill="accent5" w:themeFillShade="CC"/>
      </w:tcPr>
    </w:tblStylePr>
    <w:tblStylePr w:type="lastRow">
      <w:rPr>
        <w:b/>
        <w:bCs/>
        <w:color w:val="56610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5FDBC" w:themeFill="accent6" w:themeFillTint="3F"/>
      </w:tcPr>
    </w:tblStylePr>
    <w:tblStylePr w:type="band1Horz">
      <w:tblPr/>
      <w:tcPr>
        <w:shd w:val="clear" w:color="auto" w:fill="B6FEC8"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FE5" w:themeFill="accent1" w:themeFillTint="33"/>
    </w:tcPr>
    <w:tblStylePr w:type="firstRow">
      <w:rPr>
        <w:b/>
        <w:bCs/>
      </w:rPr>
      <w:tblPr/>
      <w:tcPr>
        <w:shd w:val="clear" w:color="auto" w:fill="5CFFCC" w:themeFill="accent1" w:themeFillTint="66"/>
      </w:tcPr>
    </w:tblStylePr>
    <w:tblStylePr w:type="lastRow">
      <w:rPr>
        <w:b/>
        <w:bCs/>
        <w:color w:val="000000" w:themeColor="text1"/>
      </w:rPr>
      <w:tblPr/>
      <w:tcPr>
        <w:shd w:val="clear" w:color="auto" w:fill="5CFFCC" w:themeFill="accent1" w:themeFillTint="66"/>
      </w:tcPr>
    </w:tblStylePr>
    <w:tblStylePr w:type="firstCol">
      <w:rPr>
        <w:color w:val="FFFFFF" w:themeColor="background1"/>
      </w:rPr>
      <w:tblPr/>
      <w:tcPr>
        <w:shd w:val="clear" w:color="auto" w:fill="004D35" w:themeFill="accent1" w:themeFillShade="BF"/>
      </w:tcPr>
    </w:tblStylePr>
    <w:tblStylePr w:type="lastCol">
      <w:rPr>
        <w:color w:val="FFFFFF" w:themeColor="background1"/>
      </w:rPr>
      <w:tblPr/>
      <w:tcPr>
        <w:shd w:val="clear" w:color="auto" w:fill="004D35" w:themeFill="accent1" w:themeFillShade="BF"/>
      </w:tcPr>
    </w:tblStylePr>
    <w:tblStylePr w:type="band1Vert">
      <w:tblPr/>
      <w:tcPr>
        <w:shd w:val="clear" w:color="auto" w:fill="34FFC0" w:themeFill="accent1" w:themeFillTint="7F"/>
      </w:tcPr>
    </w:tblStylePr>
    <w:tblStylePr w:type="band1Horz">
      <w:tblPr/>
      <w:tcPr>
        <w:shd w:val="clear" w:color="auto" w:fill="34FFC0"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E1DF" w:themeFill="accent2" w:themeFillTint="33"/>
    </w:tcPr>
    <w:tblStylePr w:type="firstRow">
      <w:rPr>
        <w:b/>
        <w:bCs/>
      </w:rPr>
      <w:tblPr/>
      <w:tcPr>
        <w:shd w:val="clear" w:color="auto" w:fill="C9C4BF" w:themeFill="accent2" w:themeFillTint="66"/>
      </w:tcPr>
    </w:tblStylePr>
    <w:tblStylePr w:type="lastRow">
      <w:rPr>
        <w:b/>
        <w:bCs/>
        <w:color w:val="000000" w:themeColor="text1"/>
      </w:rPr>
      <w:tblPr/>
      <w:tcPr>
        <w:shd w:val="clear" w:color="auto" w:fill="C9C4BF" w:themeFill="accent2" w:themeFillTint="66"/>
      </w:tcPr>
    </w:tblStylePr>
    <w:tblStylePr w:type="firstCol">
      <w:rPr>
        <w:color w:val="FFFFFF" w:themeColor="background1"/>
      </w:rPr>
      <w:tblPr/>
      <w:tcPr>
        <w:shd w:val="clear" w:color="auto" w:fill="59524B" w:themeFill="accent2" w:themeFillShade="BF"/>
      </w:tcPr>
    </w:tblStylePr>
    <w:tblStylePr w:type="lastCol">
      <w:rPr>
        <w:color w:val="FFFFFF" w:themeColor="background1"/>
      </w:rPr>
      <w:tblPr/>
      <w:tcPr>
        <w:shd w:val="clear" w:color="auto" w:fill="59524B" w:themeFill="accent2" w:themeFillShade="BF"/>
      </w:tcPr>
    </w:tblStylePr>
    <w:tblStylePr w:type="band1Vert">
      <w:tblPr/>
      <w:tcPr>
        <w:shd w:val="clear" w:color="auto" w:fill="BCB6B0" w:themeFill="accent2" w:themeFillTint="7F"/>
      </w:tcPr>
    </w:tblStylePr>
    <w:tblStylePr w:type="band1Horz">
      <w:tblPr/>
      <w:tcPr>
        <w:shd w:val="clear" w:color="auto" w:fill="BCB6B0"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8FCE4" w:themeFill="accent3" w:themeFillTint="33"/>
    </w:tcPr>
    <w:tblStylePr w:type="firstRow">
      <w:rPr>
        <w:b/>
        <w:bCs/>
      </w:rPr>
      <w:tblPr/>
      <w:tcPr>
        <w:shd w:val="clear" w:color="auto" w:fill="53F9CA" w:themeFill="accent3" w:themeFillTint="66"/>
      </w:tcPr>
    </w:tblStylePr>
    <w:tblStylePr w:type="lastRow">
      <w:rPr>
        <w:b/>
        <w:bCs/>
        <w:color w:val="000000" w:themeColor="text1"/>
      </w:rPr>
      <w:tblPr/>
      <w:tcPr>
        <w:shd w:val="clear" w:color="auto" w:fill="53F9CA" w:themeFill="accent3" w:themeFillTint="66"/>
      </w:tcPr>
    </w:tblStylePr>
    <w:tblStylePr w:type="firstCol">
      <w:rPr>
        <w:color w:val="FFFFFF" w:themeColor="background1"/>
      </w:rPr>
      <w:tblPr/>
      <w:tcPr>
        <w:shd w:val="clear" w:color="auto" w:fill="013123" w:themeFill="accent3" w:themeFillShade="BF"/>
      </w:tcPr>
    </w:tblStylePr>
    <w:tblStylePr w:type="lastCol">
      <w:rPr>
        <w:color w:val="FFFFFF" w:themeColor="background1"/>
      </w:rPr>
      <w:tblPr/>
      <w:tcPr>
        <w:shd w:val="clear" w:color="auto" w:fill="013123" w:themeFill="accent3" w:themeFillShade="BF"/>
      </w:tcPr>
    </w:tblStylePr>
    <w:tblStylePr w:type="band1Vert">
      <w:tblPr/>
      <w:tcPr>
        <w:shd w:val="clear" w:color="auto" w:fill="29F8BE" w:themeFill="accent3" w:themeFillTint="7F"/>
      </w:tcPr>
    </w:tblStylePr>
    <w:tblStylePr w:type="band1Horz">
      <w:tblPr/>
      <w:tcPr>
        <w:shd w:val="clear" w:color="auto" w:fill="29F8BE"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DBD8" w:themeFill="accent4" w:themeFillTint="33"/>
    </w:tcPr>
    <w:tblStylePr w:type="firstRow">
      <w:rPr>
        <w:b/>
        <w:bCs/>
      </w:rPr>
      <w:tblPr/>
      <w:tcPr>
        <w:shd w:val="clear" w:color="auto" w:fill="BCB7B2" w:themeFill="accent4" w:themeFillTint="66"/>
      </w:tcPr>
    </w:tblStylePr>
    <w:tblStylePr w:type="lastRow">
      <w:rPr>
        <w:b/>
        <w:bCs/>
        <w:color w:val="000000" w:themeColor="text1"/>
      </w:rPr>
      <w:tblPr/>
      <w:tcPr>
        <w:shd w:val="clear" w:color="auto" w:fill="BCB7B2" w:themeFill="accent4" w:themeFillTint="66"/>
      </w:tcPr>
    </w:tblStylePr>
    <w:tblStylePr w:type="firstCol">
      <w:rPr>
        <w:color w:val="FFFFFF" w:themeColor="background1"/>
      </w:rPr>
      <w:tblPr/>
      <w:tcPr>
        <w:shd w:val="clear" w:color="auto" w:fill="3C3835" w:themeFill="accent4" w:themeFillShade="BF"/>
      </w:tcPr>
    </w:tblStylePr>
    <w:tblStylePr w:type="lastCol">
      <w:rPr>
        <w:color w:val="FFFFFF" w:themeColor="background1"/>
      </w:rPr>
      <w:tblPr/>
      <w:tcPr>
        <w:shd w:val="clear" w:color="auto" w:fill="3C3835" w:themeFill="accent4" w:themeFillShade="BF"/>
      </w:tcPr>
    </w:tblStylePr>
    <w:tblStylePr w:type="band1Vert">
      <w:tblPr/>
      <w:tcPr>
        <w:shd w:val="clear" w:color="auto" w:fill="ABA5A0" w:themeFill="accent4" w:themeFillTint="7F"/>
      </w:tcPr>
    </w:tblStylePr>
    <w:tblStylePr w:type="band1Horz">
      <w:tblPr/>
      <w:tcPr>
        <w:shd w:val="clear" w:color="auto" w:fill="ABA5A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FDB3" w:themeFill="accent5" w:themeFillTint="33"/>
    </w:tcPr>
    <w:tblStylePr w:type="firstRow">
      <w:rPr>
        <w:b/>
        <w:bCs/>
      </w:rPr>
      <w:tblPr/>
      <w:tcPr>
        <w:shd w:val="clear" w:color="auto" w:fill="EAFB68" w:themeFill="accent5" w:themeFillTint="66"/>
      </w:tcPr>
    </w:tblStylePr>
    <w:tblStylePr w:type="lastRow">
      <w:rPr>
        <w:b/>
        <w:bCs/>
        <w:color w:val="000000" w:themeColor="text1"/>
      </w:rPr>
      <w:tblPr/>
      <w:tcPr>
        <w:shd w:val="clear" w:color="auto" w:fill="EAFB68" w:themeFill="accent5" w:themeFillTint="66"/>
      </w:tcPr>
    </w:tblStylePr>
    <w:tblStylePr w:type="firstCol">
      <w:rPr>
        <w:color w:val="FFFFFF" w:themeColor="background1"/>
      </w:rPr>
      <w:tblPr/>
      <w:tcPr>
        <w:shd w:val="clear" w:color="auto" w:fill="505B02" w:themeFill="accent5" w:themeFillShade="BF"/>
      </w:tcPr>
    </w:tblStylePr>
    <w:tblStylePr w:type="lastCol">
      <w:rPr>
        <w:color w:val="FFFFFF" w:themeColor="background1"/>
      </w:rPr>
      <w:tblPr/>
      <w:tcPr>
        <w:shd w:val="clear" w:color="auto" w:fill="505B02" w:themeFill="accent5" w:themeFillShade="BF"/>
      </w:tcPr>
    </w:tblStylePr>
    <w:tblStylePr w:type="band1Vert">
      <w:tblPr/>
      <w:tcPr>
        <w:shd w:val="clear" w:color="auto" w:fill="E4FA43" w:themeFill="accent5" w:themeFillTint="7F"/>
      </w:tcPr>
    </w:tblStylePr>
    <w:tblStylePr w:type="band1Horz">
      <w:tblPr/>
      <w:tcPr>
        <w:shd w:val="clear" w:color="auto" w:fill="E4FA43"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6FEC8" w:themeFill="accent6" w:themeFillTint="33"/>
    </w:tcPr>
    <w:tblStylePr w:type="firstRow">
      <w:rPr>
        <w:b/>
        <w:bCs/>
      </w:rPr>
      <w:tblPr/>
      <w:tcPr>
        <w:shd w:val="clear" w:color="auto" w:fill="6EFD92" w:themeFill="accent6" w:themeFillTint="66"/>
      </w:tcPr>
    </w:tblStylePr>
    <w:tblStylePr w:type="lastRow">
      <w:rPr>
        <w:b/>
        <w:bCs/>
        <w:color w:val="000000" w:themeColor="text1"/>
      </w:rPr>
      <w:tblPr/>
      <w:tcPr>
        <w:shd w:val="clear" w:color="auto" w:fill="6EFD92" w:themeFill="accent6" w:themeFillTint="66"/>
      </w:tcPr>
    </w:tblStylePr>
    <w:tblStylePr w:type="firstCol">
      <w:rPr>
        <w:color w:val="FFFFFF" w:themeColor="background1"/>
      </w:rPr>
      <w:tblPr/>
      <w:tcPr>
        <w:shd w:val="clear" w:color="auto" w:fill="016A1C" w:themeFill="accent6" w:themeFillShade="BF"/>
      </w:tcPr>
    </w:tblStylePr>
    <w:tblStylePr w:type="lastCol">
      <w:rPr>
        <w:color w:val="FFFFFF" w:themeColor="background1"/>
      </w:rPr>
      <w:tblPr/>
      <w:tcPr>
        <w:shd w:val="clear" w:color="auto" w:fill="016A1C" w:themeFill="accent6" w:themeFillShade="BF"/>
      </w:tcPr>
    </w:tblStylePr>
    <w:tblStylePr w:type="band1Vert">
      <w:tblPr/>
      <w:tcPr>
        <w:shd w:val="clear" w:color="auto" w:fill="4BFC78" w:themeFill="accent6" w:themeFillTint="7F"/>
      </w:tcPr>
    </w:tblStylePr>
    <w:tblStylePr w:type="band1Horz">
      <w:tblPr/>
      <w:tcPr>
        <w:shd w:val="clear" w:color="auto" w:fill="4BFC78" w:themeFill="accent6" w:themeFillTint="7F"/>
      </w:tcPr>
    </w:tblStylePr>
  </w:style>
  <w:style w:type="table" w:styleId="PlainTable4">
    <w:name w:val="Plain Table 4"/>
    <w:basedOn w:val="TableNormal"/>
    <w:uiPriority w:val="99"/>
    <w:rsid w:val="00BB53E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99"/>
    <w:rsid w:val="00BB53E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875BEA"/>
    <w:rPr>
      <w:color w:val="0000FF" w:themeColor="hyperlink"/>
      <w:u w:val="single"/>
    </w:rPr>
  </w:style>
  <w:style w:type="character" w:styleId="UnresolvedMention">
    <w:name w:val="Unresolved Mention"/>
    <w:basedOn w:val="DefaultParagraphFont"/>
    <w:uiPriority w:val="99"/>
    <w:semiHidden/>
    <w:unhideWhenUsed/>
    <w:rsid w:val="00875BEA"/>
    <w:rPr>
      <w:color w:val="605E5C"/>
      <w:shd w:val="clear" w:color="auto" w:fill="E1DFDD"/>
    </w:rPr>
  </w:style>
  <w:style w:type="paragraph" w:styleId="Revision">
    <w:name w:val="Revision"/>
    <w:hidden/>
    <w:uiPriority w:val="99"/>
    <w:semiHidden/>
    <w:rsid w:val="00586231"/>
    <w:pPr>
      <w:spacing w:after="0" w:line="240" w:lineRule="auto"/>
    </w:pPr>
  </w:style>
  <w:style w:type="character" w:styleId="CommentReference">
    <w:name w:val="annotation reference"/>
    <w:basedOn w:val="DefaultParagraphFont"/>
    <w:uiPriority w:val="99"/>
    <w:semiHidden/>
    <w:unhideWhenUsed/>
    <w:rsid w:val="00F70601"/>
    <w:rPr>
      <w:sz w:val="16"/>
      <w:szCs w:val="16"/>
    </w:rPr>
  </w:style>
  <w:style w:type="paragraph" w:styleId="CommentText">
    <w:name w:val="annotation text"/>
    <w:basedOn w:val="Normal"/>
    <w:link w:val="CommentTextChar"/>
    <w:uiPriority w:val="99"/>
    <w:unhideWhenUsed/>
    <w:rsid w:val="00F70601"/>
    <w:pPr>
      <w:spacing w:line="240" w:lineRule="auto"/>
    </w:pPr>
    <w:rPr>
      <w:sz w:val="20"/>
      <w:szCs w:val="20"/>
    </w:rPr>
  </w:style>
  <w:style w:type="character" w:customStyle="1" w:styleId="CommentTextChar">
    <w:name w:val="Comment Text Char"/>
    <w:basedOn w:val="DefaultParagraphFont"/>
    <w:link w:val="CommentText"/>
    <w:uiPriority w:val="99"/>
    <w:rsid w:val="00F70601"/>
    <w:rPr>
      <w:sz w:val="20"/>
      <w:szCs w:val="20"/>
    </w:rPr>
  </w:style>
  <w:style w:type="paragraph" w:styleId="CommentSubject">
    <w:name w:val="annotation subject"/>
    <w:basedOn w:val="CommentText"/>
    <w:next w:val="CommentText"/>
    <w:link w:val="CommentSubjectChar"/>
    <w:uiPriority w:val="99"/>
    <w:semiHidden/>
    <w:unhideWhenUsed/>
    <w:rsid w:val="00F70601"/>
    <w:rPr>
      <w:b/>
      <w:bCs/>
    </w:rPr>
  </w:style>
  <w:style w:type="character" w:customStyle="1" w:styleId="CommentSubjectChar">
    <w:name w:val="Comment Subject Char"/>
    <w:basedOn w:val="CommentTextChar"/>
    <w:link w:val="CommentSubject"/>
    <w:uiPriority w:val="99"/>
    <w:semiHidden/>
    <w:rsid w:val="00F70601"/>
    <w:rPr>
      <w:b/>
      <w:bCs/>
      <w:sz w:val="20"/>
      <w:szCs w:val="20"/>
    </w:rPr>
  </w:style>
  <w:style w:type="character" w:customStyle="1" w:styleId="NoSpacingChar">
    <w:name w:val="No Spacing Char"/>
    <w:basedOn w:val="DefaultParagraphFont"/>
    <w:link w:val="NoSpacing"/>
    <w:uiPriority w:val="1"/>
    <w:rsid w:val="00C63B0D"/>
  </w:style>
  <w:style w:type="table" w:styleId="PlainTable3">
    <w:name w:val="Plain Table 3"/>
    <w:basedOn w:val="TableNormal"/>
    <w:uiPriority w:val="99"/>
    <w:rsid w:val="00E4564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Accent2">
    <w:name w:val="Grid Table 1 Light Accent 2"/>
    <w:basedOn w:val="TableNormal"/>
    <w:uiPriority w:val="46"/>
    <w:rsid w:val="00E45648"/>
    <w:pPr>
      <w:spacing w:after="0" w:line="240" w:lineRule="auto"/>
    </w:pPr>
    <w:tblPr>
      <w:tblStyleRowBandSize w:val="1"/>
      <w:tblStyleColBandSize w:val="1"/>
      <w:tblBorders>
        <w:top w:val="single" w:sz="4" w:space="0" w:color="C9C4BF" w:themeColor="accent2" w:themeTint="66"/>
        <w:left w:val="single" w:sz="4" w:space="0" w:color="C9C4BF" w:themeColor="accent2" w:themeTint="66"/>
        <w:bottom w:val="single" w:sz="4" w:space="0" w:color="C9C4BF" w:themeColor="accent2" w:themeTint="66"/>
        <w:right w:val="single" w:sz="4" w:space="0" w:color="C9C4BF" w:themeColor="accent2" w:themeTint="66"/>
        <w:insideH w:val="single" w:sz="4" w:space="0" w:color="C9C4BF" w:themeColor="accent2" w:themeTint="66"/>
        <w:insideV w:val="single" w:sz="4" w:space="0" w:color="C9C4BF" w:themeColor="accent2" w:themeTint="66"/>
      </w:tblBorders>
    </w:tblPr>
    <w:tblStylePr w:type="firstRow">
      <w:rPr>
        <w:b/>
        <w:bCs/>
      </w:rPr>
      <w:tblPr/>
      <w:tcPr>
        <w:tcBorders>
          <w:bottom w:val="single" w:sz="12" w:space="0" w:color="AFA8A0" w:themeColor="accent2" w:themeTint="99"/>
        </w:tcBorders>
      </w:tcPr>
    </w:tblStylePr>
    <w:tblStylePr w:type="lastRow">
      <w:rPr>
        <w:b/>
        <w:bCs/>
      </w:rPr>
      <w:tblPr/>
      <w:tcPr>
        <w:tcBorders>
          <w:top w:val="double" w:sz="2" w:space="0" w:color="AFA8A0" w:themeColor="accent2" w:themeTint="99"/>
        </w:tcBorders>
      </w:tcPr>
    </w:tblStylePr>
    <w:tblStylePr w:type="firstCol">
      <w:rPr>
        <w:b/>
        <w:bCs/>
      </w:rPr>
    </w:tblStylePr>
    <w:tblStylePr w:type="lastCol">
      <w:rPr>
        <w:b/>
        <w:bCs/>
      </w:rPr>
    </w:tblStylePr>
  </w:style>
  <w:style w:type="paragraph" w:styleId="TOC1">
    <w:name w:val="toc 1"/>
    <w:basedOn w:val="Normal"/>
    <w:next w:val="Normal"/>
    <w:autoRedefine/>
    <w:uiPriority w:val="39"/>
    <w:unhideWhenUsed/>
    <w:rsid w:val="0054377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3622">
      <w:bodyDiv w:val="1"/>
      <w:marLeft w:val="0"/>
      <w:marRight w:val="0"/>
      <w:marTop w:val="0"/>
      <w:marBottom w:val="0"/>
      <w:divBdr>
        <w:top w:val="none" w:sz="0" w:space="0" w:color="auto"/>
        <w:left w:val="none" w:sz="0" w:space="0" w:color="auto"/>
        <w:bottom w:val="none" w:sz="0" w:space="0" w:color="auto"/>
        <w:right w:val="none" w:sz="0" w:space="0" w:color="auto"/>
      </w:divBdr>
    </w:div>
    <w:div w:id="402684893">
      <w:bodyDiv w:val="1"/>
      <w:marLeft w:val="0"/>
      <w:marRight w:val="0"/>
      <w:marTop w:val="0"/>
      <w:marBottom w:val="0"/>
      <w:divBdr>
        <w:top w:val="none" w:sz="0" w:space="0" w:color="auto"/>
        <w:left w:val="none" w:sz="0" w:space="0" w:color="auto"/>
        <w:bottom w:val="none" w:sz="0" w:space="0" w:color="auto"/>
        <w:right w:val="none" w:sz="0" w:space="0" w:color="auto"/>
      </w:divBdr>
    </w:div>
    <w:div w:id="409472196">
      <w:bodyDiv w:val="1"/>
      <w:marLeft w:val="0"/>
      <w:marRight w:val="0"/>
      <w:marTop w:val="0"/>
      <w:marBottom w:val="0"/>
      <w:divBdr>
        <w:top w:val="none" w:sz="0" w:space="0" w:color="auto"/>
        <w:left w:val="none" w:sz="0" w:space="0" w:color="auto"/>
        <w:bottom w:val="none" w:sz="0" w:space="0" w:color="auto"/>
        <w:right w:val="none" w:sz="0" w:space="0" w:color="auto"/>
      </w:divBdr>
    </w:div>
    <w:div w:id="418253970">
      <w:bodyDiv w:val="1"/>
      <w:marLeft w:val="0"/>
      <w:marRight w:val="0"/>
      <w:marTop w:val="0"/>
      <w:marBottom w:val="0"/>
      <w:divBdr>
        <w:top w:val="none" w:sz="0" w:space="0" w:color="auto"/>
        <w:left w:val="none" w:sz="0" w:space="0" w:color="auto"/>
        <w:bottom w:val="none" w:sz="0" w:space="0" w:color="auto"/>
        <w:right w:val="none" w:sz="0" w:space="0" w:color="auto"/>
      </w:divBdr>
    </w:div>
    <w:div w:id="981234969">
      <w:bodyDiv w:val="1"/>
      <w:marLeft w:val="0"/>
      <w:marRight w:val="0"/>
      <w:marTop w:val="0"/>
      <w:marBottom w:val="0"/>
      <w:divBdr>
        <w:top w:val="none" w:sz="0" w:space="0" w:color="auto"/>
        <w:left w:val="none" w:sz="0" w:space="0" w:color="auto"/>
        <w:bottom w:val="none" w:sz="0" w:space="0" w:color="auto"/>
        <w:right w:val="none" w:sz="0" w:space="0" w:color="auto"/>
      </w:divBdr>
    </w:div>
    <w:div w:id="1419592725">
      <w:bodyDiv w:val="1"/>
      <w:marLeft w:val="0"/>
      <w:marRight w:val="0"/>
      <w:marTop w:val="0"/>
      <w:marBottom w:val="0"/>
      <w:divBdr>
        <w:top w:val="none" w:sz="0" w:space="0" w:color="auto"/>
        <w:left w:val="none" w:sz="0" w:space="0" w:color="auto"/>
        <w:bottom w:val="none" w:sz="0" w:space="0" w:color="auto"/>
        <w:right w:val="none" w:sz="0" w:space="0" w:color="auto"/>
      </w:divBdr>
    </w:div>
    <w:div w:id="1619336953">
      <w:bodyDiv w:val="1"/>
      <w:marLeft w:val="0"/>
      <w:marRight w:val="0"/>
      <w:marTop w:val="0"/>
      <w:marBottom w:val="0"/>
      <w:divBdr>
        <w:top w:val="none" w:sz="0" w:space="0" w:color="auto"/>
        <w:left w:val="none" w:sz="0" w:space="0" w:color="auto"/>
        <w:bottom w:val="none" w:sz="0" w:space="0" w:color="auto"/>
        <w:right w:val="none" w:sz="0" w:space="0" w:color="auto"/>
      </w:divBdr>
    </w:div>
    <w:div w:id="17624887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io.edu/center-teaching-learning/programs-events/peer-teaching-observation-program" TargetMode="Externa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ohio.edu/instructional-design/initiatives/course-quality"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hio University">
      <a:dk1>
        <a:sysClr val="windowText" lastClr="000000"/>
      </a:dk1>
      <a:lt1>
        <a:sysClr val="window" lastClr="FFFFFF"/>
      </a:lt1>
      <a:dk2>
        <a:srgbClr val="1F497D"/>
      </a:dk2>
      <a:lt2>
        <a:srgbClr val="EEECE1"/>
      </a:lt2>
      <a:accent1>
        <a:srgbClr val="006848"/>
      </a:accent1>
      <a:accent2>
        <a:srgbClr val="776E64"/>
      </a:accent2>
      <a:accent3>
        <a:srgbClr val="024230"/>
      </a:accent3>
      <a:accent4>
        <a:srgbClr val="514C47"/>
      </a:accent4>
      <a:accent5>
        <a:srgbClr val="6C7A03"/>
      </a:accent5>
      <a:accent6>
        <a:srgbClr val="028E26"/>
      </a:accent6>
      <a:hlink>
        <a:srgbClr val="0000FF"/>
      </a:hlink>
      <a:folHlink>
        <a:srgbClr val="800080"/>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F754FC2DC91AE4EB42E84808A9D2E9E" ma:contentTypeVersion="14" ma:contentTypeDescription="Create a new document." ma:contentTypeScope="" ma:versionID="6dbfec8fac6c922df19da75d881fc338">
  <xsd:schema xmlns:xsd="http://www.w3.org/2001/XMLSchema" xmlns:xs="http://www.w3.org/2001/XMLSchema" xmlns:p="http://schemas.microsoft.com/office/2006/metadata/properties" xmlns:ns2="e92724fb-9a83-4761-a2f3-34bac18f9558" xmlns:ns3="66f539b8-c641-48c6-bdeb-e4c48d02f763" targetNamespace="http://schemas.microsoft.com/office/2006/metadata/properties" ma:root="true" ma:fieldsID="38a4c2b175bd2fdb2dc7fd71a60cb0e8" ns2:_="" ns3:_="">
    <xsd:import namespace="e92724fb-9a83-4761-a2f3-34bac18f9558"/>
    <xsd:import namespace="66f539b8-c641-48c6-bdeb-e4c48d02f7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2724fb-9a83-4761-a2f3-34bac18f95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3441a5e-8925-41ae-9654-e36904a9a65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f539b8-c641-48c6-bdeb-e4c48d02f7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a068329-86f1-4144-b765-d813a7c361a3}" ma:internalName="TaxCatchAll" ma:showField="CatchAllData" ma:web="66f539b8-c641-48c6-bdeb-e4c48d02f7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6f539b8-c641-48c6-bdeb-e4c48d02f763" xsi:nil="true"/>
    <lcf76f155ced4ddcb4097134ff3c332f xmlns="e92724fb-9a83-4761-a2f3-34bac18f95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58AE9117-99F7-4900-8E4E-AD139E485AE2}"/>
</file>

<file path=customXml/itemProps3.xml><?xml version="1.0" encoding="utf-8"?>
<ds:datastoreItem xmlns:ds="http://schemas.openxmlformats.org/officeDocument/2006/customXml" ds:itemID="{064DD4D3-1B11-4A5F-82D8-0F38EB90641D}"/>
</file>

<file path=customXml/itemProps4.xml><?xml version="1.0" encoding="utf-8"?>
<ds:datastoreItem xmlns:ds="http://schemas.openxmlformats.org/officeDocument/2006/customXml" ds:itemID="{1C2FA27E-4FCD-4D21-8CE6-CAE229F7BE9C}"/>
</file>

<file path=docProps/app.xml><?xml version="1.0" encoding="utf-8"?>
<Properties xmlns="http://schemas.openxmlformats.org/officeDocument/2006/extended-properties" xmlns:vt="http://schemas.openxmlformats.org/officeDocument/2006/docPropsVTypes">
  <Template>Normal.dotm</Template>
  <TotalTime>5</TotalTime>
  <Pages>29</Pages>
  <Words>8938</Words>
  <Characters>50949</Characters>
  <Application>Microsoft Office Word</Application>
  <DocSecurity>0</DocSecurity>
  <Lines>424</Lines>
  <Paragraphs>119</Paragraphs>
  <ScaleCrop>false</ScaleCrop>
  <Manager/>
  <Company/>
  <LinksUpToDate>false</LinksUpToDate>
  <CharactersWithSpaces>59768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Advance Ohio Higher Education Act Workgroup</dc:subject>
  <dc:creator>python-docx</dc:creator>
  <cp:keywords/>
  <dc:description>generated by python-docx</dc:description>
  <cp:lastModifiedBy>Author</cp:lastModifiedBy>
  <cp:revision>4</cp:revision>
  <cp:lastPrinted>2025-06-09T15:23:00Z</cp:lastPrinted>
  <dcterms:created xsi:type="dcterms:W3CDTF">2025-07-01T13:59:00Z</dcterms:created>
  <dcterms:modified xsi:type="dcterms:W3CDTF">2025-07-01T14:57:00Z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0x0101008F754FC2DC91AE4EB42E84808A9D2E9E</vt:lpwstr>
  </property>
</Properties>
</file>